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325F9">
      <w:pPr>
        <w:rPr>
          <w:rFonts w:hint="eastAsia" w:ascii="微软雅黑" w:hAnsi="微软雅黑" w:eastAsia="微软雅黑" w:cs="微软雅黑"/>
          <w:b/>
          <w:color w:val="000000"/>
          <w:kern w:val="0"/>
          <w:sz w:val="28"/>
          <w:szCs w:val="28"/>
        </w:rPr>
      </w:pPr>
      <w:r>
        <w:rPr>
          <w:rFonts w:hint="eastAsia" w:ascii="微软雅黑" w:hAnsi="微软雅黑" w:eastAsia="微软雅黑" w:cs="微软雅黑"/>
          <w:b/>
          <w:bCs/>
          <w:color w:val="000000"/>
          <w:kern w:val="0"/>
          <w:sz w:val="28"/>
          <w:szCs w:val="28"/>
        </w:rPr>
        <w:t>常见</w:t>
      </w:r>
      <w:r>
        <w:rPr>
          <w:rFonts w:hint="eastAsia" w:ascii="微软雅黑" w:hAnsi="微软雅黑" w:eastAsia="微软雅黑" w:cs="微软雅黑"/>
          <w:b/>
          <w:color w:val="000000"/>
          <w:kern w:val="0"/>
          <w:sz w:val="28"/>
          <w:szCs w:val="28"/>
        </w:rPr>
        <w:t>问题</w:t>
      </w:r>
    </w:p>
    <w:p w14:paraId="43FEFC96">
      <w:pPr>
        <w:widowControl/>
        <w:autoSpaceDE w:val="0"/>
        <w:autoSpaceDN w:val="0"/>
        <w:adjustRightInd w:val="0"/>
        <w:spacing w:line="360" w:lineRule="auto"/>
        <w:rPr>
          <w:rFonts w:hint="eastAsia" w:ascii="微软雅黑" w:hAnsi="微软雅黑" w:eastAsia="微软雅黑" w:cs="微软雅黑"/>
          <w:b/>
          <w:bCs/>
          <w:color w:val="000000" w:themeColor="text1"/>
          <w:szCs w:val="21"/>
          <w14:textFill>
            <w14:solidFill>
              <w14:schemeClr w14:val="tx1"/>
            </w14:solidFill>
          </w14:textFill>
        </w:rPr>
      </w:pPr>
      <w:r>
        <w:rPr>
          <w:rFonts w:hint="eastAsia" w:ascii="微软雅黑" w:hAnsi="微软雅黑" w:eastAsia="微软雅黑" w:cs="微软雅黑"/>
          <w:b/>
          <w:bCs/>
          <w:color w:val="000000" w:themeColor="text1"/>
          <w:szCs w:val="21"/>
          <w14:textFill>
            <w14:solidFill>
              <w14:schemeClr w14:val="tx1"/>
            </w14:solidFill>
          </w14:textFill>
        </w:rPr>
        <w:t>Q0：如何进行退保或保全？</w:t>
      </w:r>
    </w:p>
    <w:p w14:paraId="282CD0E6">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A0：您可通过众安保险APP或众安保险小程序（路径：我的-我的保单-保单服务）发起退保或保全服务申请，或拨打众安保险客服电话952299或10109955发起退保或保全申请。</w:t>
      </w:r>
    </w:p>
    <w:p w14:paraId="78B81441">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5BB4D93E">
      <w:pPr>
        <w:widowControl/>
        <w:autoSpaceDE w:val="0"/>
        <w:autoSpaceDN w:val="0"/>
        <w:adjustRightInd w:val="0"/>
        <w:spacing w:line="360" w:lineRule="auto"/>
        <w:rPr>
          <w:rFonts w:hint="eastAsia" w:ascii="微软雅黑" w:hAnsi="微软雅黑" w:eastAsia="微软雅黑" w:cs="微软雅黑"/>
          <w:b/>
          <w:bCs/>
          <w:color w:val="000000" w:themeColor="text1"/>
          <w:szCs w:val="21"/>
          <w14:textFill>
            <w14:solidFill>
              <w14:schemeClr w14:val="tx1"/>
            </w14:solidFill>
          </w14:textFill>
        </w:rPr>
      </w:pPr>
      <w:r>
        <w:rPr>
          <w:rFonts w:hint="eastAsia" w:ascii="微软雅黑" w:hAnsi="微软雅黑" w:eastAsia="微软雅黑" w:cs="微软雅黑"/>
          <w:b/>
          <w:bCs/>
          <w:color w:val="000000" w:themeColor="text1"/>
          <w:szCs w:val="21"/>
          <w14:textFill>
            <w14:solidFill>
              <w14:schemeClr w14:val="tx1"/>
            </w14:solidFill>
          </w14:textFill>
        </w:rPr>
        <w:t>Q</w:t>
      </w:r>
      <w:r>
        <w:rPr>
          <w:rFonts w:ascii="微软雅黑" w:hAnsi="微软雅黑" w:eastAsia="微软雅黑" w:cs="微软雅黑"/>
          <w:b/>
          <w:bCs/>
          <w:color w:val="000000" w:themeColor="text1"/>
          <w:szCs w:val="21"/>
          <w14:textFill>
            <w14:solidFill>
              <w14:schemeClr w14:val="tx1"/>
            </w14:solidFill>
          </w14:textFill>
        </w:rPr>
        <w:t>1</w:t>
      </w:r>
      <w:r>
        <w:rPr>
          <w:rFonts w:hint="eastAsia" w:ascii="微软雅黑" w:hAnsi="微软雅黑" w:eastAsia="微软雅黑" w:cs="微软雅黑"/>
          <w:b/>
          <w:bCs/>
          <w:color w:val="000000" w:themeColor="text1"/>
          <w:szCs w:val="21"/>
          <w14:textFill>
            <w14:solidFill>
              <w14:schemeClr w14:val="tx1"/>
            </w14:solidFill>
          </w14:textFill>
        </w:rPr>
        <w:t>：本产品相较于百万医疗险的特色是什么？</w:t>
      </w:r>
    </w:p>
    <w:p w14:paraId="334A8543">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ascii="微软雅黑" w:hAnsi="微软雅黑" w:eastAsia="微软雅黑" w:cs="微软雅黑"/>
          <w:bCs/>
          <w:color w:val="000000" w:themeColor="text1"/>
          <w:szCs w:val="21"/>
          <w14:textFill>
            <w14:solidFill>
              <w14:schemeClr w14:val="tx1"/>
            </w14:solidFill>
          </w14:textFill>
        </w:rPr>
        <w:t>A1：</w:t>
      </w:r>
      <w:r>
        <w:rPr>
          <w:rFonts w:hint="eastAsia" w:ascii="微软雅黑" w:hAnsi="微软雅黑" w:eastAsia="微软雅黑" w:cs="微软雅黑"/>
          <w:bCs/>
          <w:color w:val="000000" w:themeColor="text1"/>
          <w:szCs w:val="21"/>
          <w14:textFill>
            <w14:solidFill>
              <w14:schemeClr w14:val="tx1"/>
            </w14:solidFill>
          </w14:textFill>
        </w:rPr>
        <w:t>本产品包括0免赔额</w:t>
      </w:r>
      <w:r>
        <w:rPr>
          <w:rFonts w:ascii="微软雅黑" w:hAnsi="微软雅黑" w:eastAsia="微软雅黑" w:cs="微软雅黑"/>
          <w:bCs/>
          <w:color w:val="000000" w:themeColor="text1"/>
          <w:szCs w:val="21"/>
          <w14:textFill>
            <w14:solidFill>
              <w14:schemeClr w14:val="tx1"/>
            </w14:solidFill>
          </w14:textFill>
        </w:rPr>
        <w:t>/1.5</w:t>
      </w:r>
      <w:r>
        <w:rPr>
          <w:rFonts w:hint="eastAsia" w:ascii="微软雅黑" w:hAnsi="微软雅黑" w:eastAsia="微软雅黑" w:cs="微软雅黑"/>
          <w:bCs/>
          <w:color w:val="000000" w:themeColor="text1"/>
          <w:szCs w:val="21"/>
          <w14:textFill>
            <w14:solidFill>
              <w14:schemeClr w14:val="tx1"/>
            </w14:solidFill>
          </w14:textFill>
        </w:rPr>
        <w:t>万元/</w:t>
      </w:r>
      <w:r>
        <w:rPr>
          <w:rFonts w:ascii="微软雅黑" w:hAnsi="微软雅黑" w:eastAsia="微软雅黑" w:cs="微软雅黑"/>
          <w:bCs/>
          <w:color w:val="000000" w:themeColor="text1"/>
          <w:szCs w:val="21"/>
          <w14:textFill>
            <w14:solidFill>
              <w14:schemeClr w14:val="tx1"/>
            </w14:solidFill>
          </w14:textFill>
        </w:rPr>
        <w:t>3</w:t>
      </w:r>
      <w:r>
        <w:rPr>
          <w:rFonts w:hint="eastAsia" w:ascii="微软雅黑" w:hAnsi="微软雅黑" w:eastAsia="微软雅黑" w:cs="微软雅黑"/>
          <w:bCs/>
          <w:color w:val="000000" w:themeColor="text1"/>
          <w:szCs w:val="21"/>
          <w14:textFill>
            <w14:solidFill>
              <w14:schemeClr w14:val="tx1"/>
            </w14:solidFill>
          </w14:textFill>
        </w:rPr>
        <w:t>万元免赔额的选项。</w:t>
      </w:r>
    </w:p>
    <w:p w14:paraId="1695198D">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必选责任中，我们承担您</w:t>
      </w:r>
      <w:r>
        <w:rPr>
          <w:rFonts w:ascii="微软雅黑" w:hAnsi="微软雅黑" w:eastAsia="微软雅黑" w:cs="微软雅黑"/>
          <w:bCs/>
          <w:color w:val="000000" w:themeColor="text1"/>
          <w:szCs w:val="21"/>
          <w14:textFill>
            <w14:solidFill>
              <w14:schemeClr w14:val="tx1"/>
            </w14:solidFill>
          </w14:textFill>
        </w:rPr>
        <w:t>因</w:t>
      </w:r>
      <w:r>
        <w:rPr>
          <w:rFonts w:hint="eastAsia" w:ascii="微软雅黑" w:hAnsi="微软雅黑" w:eastAsia="微软雅黑" w:cs="微软雅黑"/>
          <w:bCs/>
          <w:color w:val="000000" w:themeColor="text1"/>
          <w:szCs w:val="21"/>
          <w14:textFill>
            <w14:solidFill>
              <w14:schemeClr w14:val="tx1"/>
            </w14:solidFill>
          </w14:textFill>
        </w:rPr>
        <w:t>遭受</w:t>
      </w:r>
      <w:r>
        <w:rPr>
          <w:rFonts w:ascii="微软雅黑" w:hAnsi="微软雅黑" w:eastAsia="微软雅黑" w:cs="微软雅黑"/>
          <w:bCs/>
          <w:color w:val="000000" w:themeColor="text1"/>
          <w:szCs w:val="21"/>
          <w14:textFill>
            <w14:solidFill>
              <w14:schemeClr w14:val="tx1"/>
            </w14:solidFill>
          </w14:textFill>
        </w:rPr>
        <w:t>意外</w:t>
      </w:r>
      <w:r>
        <w:rPr>
          <w:rFonts w:hint="eastAsia" w:ascii="微软雅黑" w:hAnsi="微软雅黑" w:eastAsia="微软雅黑" w:cs="微软雅黑"/>
          <w:bCs/>
          <w:color w:val="000000" w:themeColor="text1"/>
          <w:szCs w:val="21"/>
          <w14:textFill>
            <w14:solidFill>
              <w14:schemeClr w14:val="tx1"/>
            </w14:solidFill>
          </w14:textFill>
        </w:rPr>
        <w:t>伤害事故</w:t>
      </w:r>
      <w:r>
        <w:rPr>
          <w:rFonts w:ascii="微软雅黑" w:hAnsi="微软雅黑" w:eastAsia="微软雅黑" w:cs="微软雅黑"/>
          <w:bCs/>
          <w:color w:val="000000" w:themeColor="text1"/>
          <w:szCs w:val="21"/>
          <w14:textFill>
            <w14:solidFill>
              <w14:schemeClr w14:val="tx1"/>
            </w14:solidFill>
          </w14:textFill>
        </w:rPr>
        <w:t>或</w:t>
      </w:r>
      <w:r>
        <w:rPr>
          <w:rFonts w:hint="eastAsia" w:ascii="微软雅黑" w:hAnsi="微软雅黑" w:eastAsia="微软雅黑" w:cs="微软雅黑"/>
          <w:bCs/>
          <w:color w:val="000000" w:themeColor="text1"/>
          <w:szCs w:val="21"/>
          <w14:textFill>
            <w14:solidFill>
              <w14:schemeClr w14:val="tx1"/>
            </w14:solidFill>
          </w14:textFill>
        </w:rPr>
        <w:t>在等待期后因罹患疾病在以下就诊医院范围接受住院、住院前30</w:t>
      </w:r>
      <w:r>
        <w:rPr>
          <w:rFonts w:ascii="微软雅黑" w:hAnsi="微软雅黑" w:eastAsia="微软雅黑" w:cs="微软雅黑"/>
          <w:bCs/>
          <w:color w:val="000000" w:themeColor="text1"/>
          <w:szCs w:val="21"/>
          <w14:textFill>
            <w14:solidFill>
              <w14:schemeClr w14:val="tx1"/>
            </w14:solidFill>
          </w14:textFill>
        </w:rPr>
        <w:t>天</w:t>
      </w:r>
      <w:r>
        <w:rPr>
          <w:rFonts w:hint="eastAsia" w:ascii="微软雅黑" w:hAnsi="微软雅黑" w:eastAsia="微软雅黑" w:cs="微软雅黑"/>
          <w:bCs/>
          <w:color w:val="000000" w:themeColor="text1"/>
          <w:szCs w:val="21"/>
          <w14:textFill>
            <w14:solidFill>
              <w14:schemeClr w14:val="tx1"/>
            </w14:solidFill>
          </w14:textFill>
        </w:rPr>
        <w:t>（含住院当日）</w:t>
      </w:r>
      <w:r>
        <w:rPr>
          <w:rFonts w:ascii="微软雅黑" w:hAnsi="微软雅黑" w:eastAsia="微软雅黑" w:cs="微软雅黑"/>
          <w:bCs/>
          <w:color w:val="000000" w:themeColor="text1"/>
          <w:szCs w:val="21"/>
          <w14:textFill>
            <w14:solidFill>
              <w14:schemeClr w14:val="tx1"/>
            </w14:solidFill>
          </w14:textFill>
        </w:rPr>
        <w:t>和</w:t>
      </w:r>
      <w:r>
        <w:rPr>
          <w:rFonts w:hint="eastAsia" w:ascii="微软雅黑" w:hAnsi="微软雅黑" w:eastAsia="微软雅黑" w:cs="微软雅黑"/>
          <w:bCs/>
          <w:color w:val="000000" w:themeColor="text1"/>
          <w:szCs w:val="21"/>
          <w14:textFill>
            <w14:solidFill>
              <w14:schemeClr w14:val="tx1"/>
            </w14:solidFill>
          </w14:textFill>
        </w:rPr>
        <w:t>出院</w:t>
      </w:r>
      <w:r>
        <w:rPr>
          <w:rFonts w:ascii="微软雅黑" w:hAnsi="微软雅黑" w:eastAsia="微软雅黑" w:cs="微软雅黑"/>
          <w:bCs/>
          <w:color w:val="000000" w:themeColor="text1"/>
          <w:szCs w:val="21"/>
          <w14:textFill>
            <w14:solidFill>
              <w14:schemeClr w14:val="tx1"/>
            </w14:solidFill>
          </w14:textFill>
        </w:rPr>
        <w:t>后30天</w:t>
      </w:r>
      <w:r>
        <w:rPr>
          <w:rFonts w:hint="eastAsia" w:ascii="微软雅黑" w:hAnsi="微软雅黑" w:eastAsia="微软雅黑" w:cs="微软雅黑"/>
          <w:bCs/>
          <w:color w:val="000000" w:themeColor="text1"/>
          <w:szCs w:val="21"/>
          <w14:textFill>
            <w14:solidFill>
              <w14:schemeClr w14:val="tx1"/>
            </w14:solidFill>
          </w14:textFill>
        </w:rPr>
        <w:t>（含出院当日）</w:t>
      </w:r>
      <w:r>
        <w:rPr>
          <w:rFonts w:ascii="微软雅黑" w:hAnsi="微软雅黑" w:eastAsia="微软雅黑" w:cs="微软雅黑"/>
          <w:bCs/>
          <w:color w:val="000000" w:themeColor="text1"/>
          <w:szCs w:val="21"/>
          <w14:textFill>
            <w14:solidFill>
              <w14:schemeClr w14:val="tx1"/>
            </w14:solidFill>
          </w14:textFill>
        </w:rPr>
        <w:t>门急诊</w:t>
      </w:r>
      <w:r>
        <w:rPr>
          <w:rFonts w:hint="eastAsia" w:ascii="微软雅黑" w:hAnsi="微软雅黑" w:eastAsia="微软雅黑" w:cs="微软雅黑"/>
          <w:bCs/>
          <w:color w:val="000000" w:themeColor="text1"/>
          <w:szCs w:val="21"/>
          <w14:textFill>
            <w14:solidFill>
              <w14:schemeClr w14:val="tx1"/>
            </w14:solidFill>
          </w14:textFill>
        </w:rPr>
        <w:t>（与该次住院相同原因）</w:t>
      </w:r>
      <w:r>
        <w:rPr>
          <w:rFonts w:ascii="微软雅黑" w:hAnsi="微软雅黑" w:eastAsia="微软雅黑" w:cs="微软雅黑"/>
          <w:bCs/>
          <w:color w:val="000000" w:themeColor="text1"/>
          <w:szCs w:val="21"/>
          <w14:textFill>
            <w14:solidFill>
              <w14:schemeClr w14:val="tx1"/>
            </w14:solidFill>
          </w14:textFill>
        </w:rPr>
        <w:t>、特殊门诊</w:t>
      </w:r>
      <w:r>
        <w:rPr>
          <w:rFonts w:hint="eastAsia" w:ascii="微软雅黑" w:hAnsi="微软雅黑" w:eastAsia="微软雅黑" w:cs="微软雅黑"/>
          <w:bCs/>
          <w:color w:val="000000" w:themeColor="text1"/>
          <w:szCs w:val="21"/>
          <w14:textFill>
            <w14:solidFill>
              <w14:schemeClr w14:val="tx1"/>
            </w14:solidFill>
          </w14:textFill>
        </w:rPr>
        <w:t>、</w:t>
      </w:r>
      <w:r>
        <w:rPr>
          <w:rFonts w:ascii="微软雅黑" w:hAnsi="微软雅黑" w:eastAsia="微软雅黑" w:cs="微软雅黑"/>
          <w:bCs/>
          <w:color w:val="000000" w:themeColor="text1"/>
          <w:szCs w:val="21"/>
          <w14:textFill>
            <w14:solidFill>
              <w14:schemeClr w14:val="tx1"/>
            </w14:solidFill>
          </w14:textFill>
        </w:rPr>
        <w:t>门诊手术治疗</w:t>
      </w:r>
      <w:r>
        <w:rPr>
          <w:rFonts w:hint="eastAsia" w:ascii="微软雅黑" w:hAnsi="微软雅黑" w:eastAsia="微软雅黑" w:cs="微软雅黑"/>
          <w:bCs/>
          <w:color w:val="000000" w:themeColor="text1"/>
          <w:szCs w:val="21"/>
          <w14:textFill>
            <w14:solidFill>
              <w14:schemeClr w14:val="tx1"/>
            </w14:solidFill>
          </w14:textFill>
        </w:rPr>
        <w:t>以及出院后特别关怀费用治疗</w:t>
      </w:r>
      <w:r>
        <w:rPr>
          <w:rFonts w:ascii="微软雅黑" w:hAnsi="微软雅黑" w:eastAsia="微软雅黑" w:cs="微软雅黑"/>
          <w:bCs/>
          <w:color w:val="000000" w:themeColor="text1"/>
          <w:szCs w:val="21"/>
          <w14:textFill>
            <w14:solidFill>
              <w14:schemeClr w14:val="tx1"/>
            </w14:solidFill>
          </w14:textFill>
        </w:rPr>
        <w:t>的</w:t>
      </w:r>
      <w:r>
        <w:rPr>
          <w:rFonts w:hint="eastAsia" w:ascii="微软雅黑" w:hAnsi="微软雅黑" w:eastAsia="微软雅黑" w:cs="微软雅黑"/>
          <w:bCs/>
          <w:color w:val="000000" w:themeColor="text1"/>
          <w:szCs w:val="21"/>
          <w14:textFill>
            <w14:solidFill>
              <w14:schemeClr w14:val="tx1"/>
            </w14:solidFill>
          </w14:textFill>
        </w:rPr>
        <w:t>，</w:t>
      </w:r>
      <w:r>
        <w:rPr>
          <w:rFonts w:ascii="微软雅黑" w:hAnsi="微软雅黑" w:eastAsia="微软雅黑" w:cs="微软雅黑"/>
          <w:bCs/>
          <w:color w:val="000000" w:themeColor="text1"/>
          <w:szCs w:val="21"/>
          <w14:textFill>
            <w14:solidFill>
              <w14:schemeClr w14:val="tx1"/>
            </w14:solidFill>
          </w14:textFill>
        </w:rPr>
        <w:t>对于责任内个人支付超过</w:t>
      </w:r>
      <w:r>
        <w:rPr>
          <w:rFonts w:hint="eastAsia" w:ascii="微软雅黑" w:hAnsi="微软雅黑" w:eastAsia="微软雅黑" w:cs="微软雅黑"/>
          <w:bCs/>
          <w:color w:val="000000" w:themeColor="text1"/>
          <w:szCs w:val="21"/>
          <w14:textFill>
            <w14:solidFill>
              <w14:schemeClr w14:val="tx1"/>
            </w14:solidFill>
          </w14:textFill>
        </w:rPr>
        <w:t>免赔额</w:t>
      </w:r>
      <w:r>
        <w:rPr>
          <w:rFonts w:ascii="微软雅黑" w:hAnsi="微软雅黑" w:eastAsia="微软雅黑" w:cs="微软雅黑"/>
          <w:bCs/>
          <w:color w:val="000000" w:themeColor="text1"/>
          <w:szCs w:val="21"/>
          <w14:textFill>
            <w14:solidFill>
              <w14:schemeClr w14:val="tx1"/>
            </w14:solidFill>
          </w14:textFill>
        </w:rPr>
        <w:t>的部分，</w:t>
      </w:r>
      <w:r>
        <w:rPr>
          <w:rFonts w:hint="eastAsia" w:ascii="微软雅黑" w:hAnsi="微软雅黑" w:eastAsia="微软雅黑" w:cs="微软雅黑"/>
          <w:bCs/>
          <w:color w:val="000000" w:themeColor="text1"/>
          <w:szCs w:val="21"/>
          <w14:textFill>
            <w14:solidFill>
              <w14:schemeClr w14:val="tx1"/>
            </w14:solidFill>
          </w14:textFill>
        </w:rPr>
        <w:t>按下述对应计划约定的赔付比例给付</w:t>
      </w:r>
      <w:r>
        <w:rPr>
          <w:rFonts w:ascii="微软雅黑" w:hAnsi="微软雅黑" w:eastAsia="微软雅黑" w:cs="微软雅黑"/>
          <w:bCs/>
          <w:color w:val="000000" w:themeColor="text1"/>
          <w:szCs w:val="21"/>
          <w14:textFill>
            <w14:solidFill>
              <w14:schemeClr w14:val="tx1"/>
            </w14:solidFill>
          </w14:textFill>
        </w:rPr>
        <w:t>，不限</w:t>
      </w:r>
      <w:r>
        <w:rPr>
          <w:rFonts w:hint="eastAsia" w:ascii="微软雅黑" w:hAnsi="微软雅黑" w:eastAsia="微软雅黑" w:cs="微软雅黑"/>
          <w:bCs/>
          <w:color w:val="000000" w:themeColor="text1"/>
          <w:szCs w:val="21"/>
          <w14:textFill>
            <w14:solidFill>
              <w14:schemeClr w14:val="tx1"/>
            </w14:solidFill>
          </w14:textFill>
        </w:rPr>
        <w:t>医保目录范围，合理且必需的进口药自费药均可赔付：</w:t>
      </w:r>
    </w:p>
    <w:p w14:paraId="38ADAAC3">
      <w:pPr>
        <w:pStyle w:val="21"/>
        <w:widowControl/>
        <w:numPr>
          <w:ilvl w:val="0"/>
          <w:numId w:val="1"/>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计划一：限经中华人民共和国卫生部门审核认定的、当地基本医疗保险管理机构最新公布的二级及二级以上的定点医院（但不包括《扩展承保及除外医疗机构清单》中的医疗机构）的普通部、特需部、国际部、VIP部（不包括观察室、联合病房和康复病房），赔付比例为1</w:t>
      </w:r>
      <w:r>
        <w:rPr>
          <w:rFonts w:ascii="微软雅黑" w:hAnsi="微软雅黑" w:eastAsia="微软雅黑" w:cs="微软雅黑"/>
          <w:bCs/>
          <w:color w:val="000000" w:themeColor="text1"/>
          <w:szCs w:val="21"/>
          <w14:textFill>
            <w14:solidFill>
              <w14:schemeClr w14:val="tx1"/>
            </w14:solidFill>
          </w14:textFill>
        </w:rPr>
        <w:t>00%</w:t>
      </w:r>
      <w:r>
        <w:rPr>
          <w:rFonts w:hint="eastAsia" w:ascii="微软雅黑" w:hAnsi="微软雅黑" w:eastAsia="微软雅黑" w:cs="微软雅黑"/>
          <w:bCs/>
          <w:color w:val="000000" w:themeColor="text1"/>
          <w:szCs w:val="21"/>
          <w14:textFill>
            <w14:solidFill>
              <w14:schemeClr w14:val="tx1"/>
            </w14:solidFill>
          </w14:textFill>
        </w:rPr>
        <w:t>；</w:t>
      </w:r>
    </w:p>
    <w:p w14:paraId="0F0A143D">
      <w:pPr>
        <w:pStyle w:val="21"/>
        <w:widowControl/>
        <w:numPr>
          <w:ilvl w:val="0"/>
          <w:numId w:val="1"/>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计划二（不含昂贵）：限经中华人民共和国卫生部门审核认定的、当地基本医疗保险管理机构最新公布的二级及二级以上的定点医院</w:t>
      </w:r>
      <w:bookmarkStart w:id="0" w:name="OLE_LINK1"/>
      <w:r>
        <w:rPr>
          <w:rFonts w:hint="eastAsia" w:ascii="微软雅黑" w:hAnsi="微软雅黑" w:eastAsia="微软雅黑" w:cs="微软雅黑"/>
          <w:bCs/>
          <w:color w:val="000000" w:themeColor="text1"/>
          <w:szCs w:val="21"/>
          <w14:textFill>
            <w14:solidFill>
              <w14:schemeClr w14:val="tx1"/>
            </w14:solidFill>
          </w14:textFill>
        </w:rPr>
        <w:t>但不包括《扩展承保及除外医疗机构清单》中的医疗机构）</w:t>
      </w:r>
      <w:bookmarkEnd w:id="0"/>
      <w:r>
        <w:rPr>
          <w:rFonts w:hint="eastAsia" w:ascii="微软雅黑" w:hAnsi="微软雅黑" w:eastAsia="微软雅黑" w:cs="微软雅黑"/>
          <w:bCs/>
          <w:color w:val="000000" w:themeColor="text1"/>
          <w:szCs w:val="21"/>
          <w14:textFill>
            <w14:solidFill>
              <w14:schemeClr w14:val="tx1"/>
            </w14:solidFill>
          </w14:textFill>
        </w:rPr>
        <w:t>及本保单约定的指定私立医院的普通部、特需部、国际部、VIP部（不包括观察室、联合病房和康复病房），其中香港、日本、美国的指定私立医院仅适用于特定疾病医疗保险金及特定疾病住院津贴保险金，赔付比例为1</w:t>
      </w:r>
      <w:r>
        <w:rPr>
          <w:rFonts w:ascii="微软雅黑" w:hAnsi="微软雅黑" w:eastAsia="微软雅黑" w:cs="微软雅黑"/>
          <w:bCs/>
          <w:color w:val="000000" w:themeColor="text1"/>
          <w:szCs w:val="21"/>
          <w14:textFill>
            <w14:solidFill>
              <w14:schemeClr w14:val="tx1"/>
            </w14:solidFill>
          </w14:textFill>
        </w:rPr>
        <w:t>00%</w:t>
      </w:r>
      <w:r>
        <w:rPr>
          <w:rFonts w:hint="eastAsia" w:ascii="微软雅黑" w:hAnsi="微软雅黑" w:eastAsia="微软雅黑" w:cs="微软雅黑"/>
          <w:bCs/>
          <w:color w:val="000000" w:themeColor="text1"/>
          <w:szCs w:val="21"/>
          <w14:textFill>
            <w14:solidFill>
              <w14:schemeClr w14:val="tx1"/>
            </w14:solidFill>
          </w14:textFill>
        </w:rPr>
        <w:t>，但在本保单约定的部分和睦家医疗集团下医疗机构的赔付比例调整为70%；</w:t>
      </w:r>
    </w:p>
    <w:p w14:paraId="7A57830F">
      <w:pPr>
        <w:pStyle w:val="21"/>
        <w:widowControl/>
        <w:numPr>
          <w:ilvl w:val="0"/>
          <w:numId w:val="1"/>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计划二（含昂贵医院加油包）：限中国大陆境内（不包括境外及港澳台地区）的就诊医院范围为经中华人民共和国卫生部门审核认定的所有医院，在中华人民共和国境外以及香港、澳门、台湾地区的就诊医院范围为本保单约定的指定私立医院，赔付比例为100%。</w:t>
      </w:r>
    </w:p>
    <w:p w14:paraId="5C1EE3B7">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bookmarkStart w:id="1" w:name="_Hlk205475604"/>
    </w:p>
    <w:p w14:paraId="003C829C">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
          <w:bCs/>
          <w:color w:val="000000" w:themeColor="text1"/>
          <w:szCs w:val="21"/>
          <w14:textFill>
            <w14:solidFill>
              <w14:schemeClr w14:val="tx1"/>
            </w14:solidFill>
          </w14:textFill>
        </w:rPr>
        <w:t>Q2：本产品就诊医院范围包含医保定点的医疗机构吗？</w:t>
      </w:r>
    </w:p>
    <w:p w14:paraId="50EE0AA0">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A2：涵盖，本产品所有计划均包括经中华人民共和国卫生部门审核认定的、当地基本医疗保险管理机构最新公布的二级及二级以上的定点医院，但不包括《扩展承保及除外医疗机构清单》中的医疗机构）。</w:t>
      </w:r>
    </w:p>
    <w:p w14:paraId="1CBBEA02">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04575095">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bookmarkEnd w:id="1"/>
    <w:p w14:paraId="16C5295B">
      <w:pPr>
        <w:widowControl/>
        <w:autoSpaceDE w:val="0"/>
        <w:autoSpaceDN w:val="0"/>
        <w:adjustRightInd w:val="0"/>
        <w:spacing w:line="360" w:lineRule="auto"/>
        <w:rPr>
          <w:rFonts w:hint="eastAsia" w:ascii="微软雅黑" w:hAnsi="微软雅黑" w:eastAsia="微软雅黑" w:cs="微软雅黑"/>
          <w:b/>
          <w:bCs/>
          <w:color w:val="000000" w:themeColor="text1"/>
          <w:szCs w:val="21"/>
          <w14:textFill>
            <w14:solidFill>
              <w14:schemeClr w14:val="tx1"/>
            </w14:solidFill>
          </w14:textFill>
        </w:rPr>
      </w:pPr>
      <w:r>
        <w:rPr>
          <w:rFonts w:hint="eastAsia" w:ascii="微软雅黑" w:hAnsi="微软雅黑" w:eastAsia="微软雅黑" w:cs="微软雅黑"/>
          <w:b/>
          <w:bCs/>
          <w:color w:val="000000" w:themeColor="text1"/>
          <w:szCs w:val="21"/>
          <w14:textFill>
            <w14:solidFill>
              <w14:schemeClr w14:val="tx1"/>
            </w14:solidFill>
          </w14:textFill>
        </w:rPr>
        <w:t>Q3：本产品就诊医院范围包含扩展承保的私立医院（非医保定点）么？</w:t>
      </w:r>
    </w:p>
    <w:p w14:paraId="24D03804">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ascii="微软雅黑" w:hAnsi="微软雅黑" w:eastAsia="微软雅黑" w:cs="微软雅黑"/>
          <w:bCs/>
          <w:color w:val="000000" w:themeColor="text1"/>
          <w:szCs w:val="21"/>
          <w14:textFill>
            <w14:solidFill>
              <w14:schemeClr w14:val="tx1"/>
            </w14:solidFill>
          </w14:textFill>
        </w:rPr>
        <w:t>A</w:t>
      </w:r>
      <w:r>
        <w:rPr>
          <w:rFonts w:hint="eastAsia" w:ascii="微软雅黑" w:hAnsi="微软雅黑" w:eastAsia="微软雅黑" w:cs="微软雅黑"/>
          <w:bCs/>
          <w:color w:val="000000" w:themeColor="text1"/>
          <w:szCs w:val="21"/>
          <w14:textFill>
            <w14:solidFill>
              <w14:schemeClr w14:val="tx1"/>
            </w14:solidFill>
          </w14:textFill>
        </w:rPr>
        <w:t>3：</w:t>
      </w:r>
    </w:p>
    <w:p w14:paraId="65D08937">
      <w:pPr>
        <w:pStyle w:val="21"/>
        <w:widowControl/>
        <w:numPr>
          <w:ilvl w:val="0"/>
          <w:numId w:val="2"/>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计划一：不涵盖；</w:t>
      </w:r>
    </w:p>
    <w:p w14:paraId="5290FF94">
      <w:pPr>
        <w:pStyle w:val="21"/>
        <w:widowControl/>
        <w:numPr>
          <w:ilvl w:val="0"/>
          <w:numId w:val="2"/>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计划二：涵盖，详见《</w:t>
      </w:r>
      <w:r>
        <w:rPr>
          <w:rFonts w:ascii="微软雅黑" w:hAnsi="微软雅黑" w:eastAsia="微软雅黑" w:cs="微软雅黑"/>
          <w:bCs/>
          <w:color w:val="000000" w:themeColor="text1"/>
          <w:szCs w:val="21"/>
          <w14:textFill>
            <w14:solidFill>
              <w14:schemeClr w14:val="tx1"/>
            </w14:solidFill>
          </w14:textFill>
        </w:rPr>
        <w:t>指定医疗机构清单计划</w:t>
      </w:r>
      <w:r>
        <w:rPr>
          <w:rFonts w:hint="eastAsia" w:ascii="微软雅黑" w:hAnsi="微软雅黑" w:eastAsia="微软雅黑" w:cs="微软雅黑"/>
          <w:bCs/>
          <w:color w:val="000000" w:themeColor="text1"/>
          <w:szCs w:val="21"/>
          <w14:textFill>
            <w14:solidFill>
              <w14:schemeClr w14:val="tx1"/>
            </w14:solidFill>
          </w14:textFill>
        </w:rPr>
        <w:t>二》；</w:t>
      </w:r>
    </w:p>
    <w:p w14:paraId="4C617E34">
      <w:pPr>
        <w:pStyle w:val="21"/>
        <w:widowControl/>
        <w:numPr>
          <w:ilvl w:val="0"/>
          <w:numId w:val="2"/>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计划二 （含昂贵医院加油包）：涵盖，并且一般医疗责任、重大疾病医疗、重大疾病住院津贴责任在中国大陆境内（不包括境外及港澳台地区）的就诊医院范围为经中华人民共和国卫生部门审核认定的所有医院，详见《指定医疗机构清单计划二含昂贵医院加油包》。</w:t>
      </w:r>
    </w:p>
    <w:p w14:paraId="5333663C">
      <w:pPr>
        <w:pStyle w:val="20"/>
        <w:adjustRightInd w:val="0"/>
        <w:snapToGrid w:val="0"/>
        <w:ind w:firstLine="0" w:firstLineChars="0"/>
        <w:rPr>
          <w:rFonts w:hint="eastAsia" w:ascii="微软雅黑" w:hAnsi="微软雅黑" w:eastAsia="微软雅黑"/>
          <w:szCs w:val="21"/>
        </w:rPr>
      </w:pPr>
    </w:p>
    <w:p w14:paraId="0F039743">
      <w:pPr>
        <w:widowControl/>
        <w:autoSpaceDE w:val="0"/>
        <w:autoSpaceDN w:val="0"/>
        <w:adjustRightInd w:val="0"/>
        <w:spacing w:line="360" w:lineRule="auto"/>
        <w:jc w:val="left"/>
        <w:rPr>
          <w:rFonts w:hint="eastAsia" w:ascii="微软雅黑" w:hAnsi="微软雅黑" w:eastAsia="微软雅黑" w:cs="微软雅黑"/>
          <w:b/>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Q4：本产品包含直付医疗服务么？</w:t>
      </w:r>
    </w:p>
    <w:p w14:paraId="17CE9D2A">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ascii="微软雅黑" w:hAnsi="微软雅黑" w:eastAsia="微软雅黑" w:cs="微软雅黑"/>
          <w:bCs/>
          <w:color w:val="000000" w:themeColor="text1"/>
          <w:szCs w:val="21"/>
          <w14:textFill>
            <w14:solidFill>
              <w14:schemeClr w14:val="tx1"/>
            </w14:solidFill>
          </w14:textFill>
        </w:rPr>
        <w:t>A</w:t>
      </w:r>
      <w:r>
        <w:rPr>
          <w:rFonts w:hint="eastAsia" w:ascii="微软雅黑" w:hAnsi="微软雅黑" w:eastAsia="微软雅黑" w:cs="微软雅黑"/>
          <w:bCs/>
          <w:color w:val="000000" w:themeColor="text1"/>
          <w:szCs w:val="21"/>
          <w14:textFill>
            <w14:solidFill>
              <w14:schemeClr w14:val="tx1"/>
            </w14:solidFill>
          </w14:textFill>
        </w:rPr>
        <w:t>4：尊享e生·中高端医疗保险PLUS （2025版）配备广泛的医疗网络，医疗网络覆盖超过2,000家医疗机构（含直付医疗机构及住院垫付医疗机构)。具体网络清单及使用须知请参照医疗网络列表（医疗网络列表可从本产品前端销售页面中了解并查询）。</w:t>
      </w:r>
    </w:p>
    <w:p w14:paraId="6C701418">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1720C933">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22BFD3A2">
      <w:pPr>
        <w:widowControl/>
        <w:autoSpaceDE w:val="0"/>
        <w:autoSpaceDN w:val="0"/>
        <w:adjustRightInd w:val="0"/>
        <w:spacing w:line="360" w:lineRule="auto"/>
        <w:jc w:val="left"/>
        <w:rPr>
          <w:rFonts w:hint="eastAsia" w:ascii="微软雅黑" w:hAnsi="微软雅黑" w:eastAsia="微软雅黑" w:cs="微软雅黑"/>
          <w:b/>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Q5：我如何使用直付医疗服务？</w:t>
      </w:r>
    </w:p>
    <w:p w14:paraId="3426AB85">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ascii="微软雅黑" w:hAnsi="微软雅黑" w:eastAsia="微软雅黑" w:cs="微软雅黑"/>
          <w:bCs/>
          <w:color w:val="000000" w:themeColor="text1"/>
          <w:szCs w:val="21"/>
          <w14:textFill>
            <w14:solidFill>
              <w14:schemeClr w14:val="tx1"/>
            </w14:solidFill>
          </w14:textFill>
        </w:rPr>
        <w:t>A</w:t>
      </w:r>
      <w:r>
        <w:rPr>
          <w:rFonts w:hint="eastAsia" w:ascii="微软雅黑" w:hAnsi="微软雅黑" w:eastAsia="微软雅黑" w:cs="微软雅黑"/>
          <w:bCs/>
          <w:color w:val="000000" w:themeColor="text1"/>
          <w:szCs w:val="21"/>
          <w14:textFill>
            <w14:solidFill>
              <w14:schemeClr w14:val="tx1"/>
            </w14:solidFill>
          </w14:textFill>
        </w:rPr>
        <w:t>5：</w:t>
      </w:r>
    </w:p>
    <w:p w14:paraId="4A8ED399">
      <w:pPr>
        <w:pStyle w:val="21"/>
        <w:widowControl/>
        <w:numPr>
          <w:ilvl w:val="0"/>
          <w:numId w:val="3"/>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详见《尊享e生·中高端医疗保险PLUS（2025版）服务手册》，您可以通过本产品销售页面获取服务手册。我们建议您提前一个工作日进行预约就诊。敬请谅解，部分专家可能需要更长的预约周期，无论您是否预约，均不影响您正常启用直付医疗服务，但未预约可能影响您的就医体验，如增加排队候诊时长及交叉感染风险等。前往本产品定制医疗网络内的医院就诊，请备好被保险人的电子直付卡及身份证明，以便您启用直付医疗服务。您可选择以下任一方式进行医疗机构就诊预约：</w:t>
      </w:r>
    </w:p>
    <w:p w14:paraId="64587CF5">
      <w:pPr>
        <w:pStyle w:val="21"/>
        <w:widowControl/>
        <w:numPr>
          <w:ilvl w:val="0"/>
          <w:numId w:val="3"/>
        </w:numPr>
        <w:autoSpaceDE w:val="0"/>
        <w:autoSpaceDN w:val="0"/>
        <w:adjustRightInd w:val="0"/>
        <w:spacing w:line="360" w:lineRule="auto"/>
        <w:ind w:firstLineChars="0"/>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在就诊前提前1个工作日通过“众安健康微信公众号”或者“众安健康微信小程序”——跳转至“Prosper柏盛健康”微信小程序中选择“直付预约”，进行服务申请；</w:t>
      </w:r>
    </w:p>
    <w:p w14:paraId="4FAE4CDD">
      <w:pPr>
        <w:pStyle w:val="21"/>
        <w:widowControl/>
        <w:numPr>
          <w:ilvl w:val="0"/>
          <w:numId w:val="3"/>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在就诊前提前1个工作日通过“Prosper柏盛健康”微信小程序中选择“直付预约”，进行服务申请</w:t>
      </w:r>
    </w:p>
    <w:p w14:paraId="31BE9DD1">
      <w:pPr>
        <w:pStyle w:val="21"/>
        <w:widowControl/>
        <w:numPr>
          <w:ilvl w:val="0"/>
          <w:numId w:val="3"/>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在就诊前提前1个工作日拨打尊享e生·中高端医疗保险PLUS专属服务热线021-38139960，让我们为您安排预约事宜。</w:t>
      </w:r>
    </w:p>
    <w:p w14:paraId="78B93A75">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69F0177C">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75048B0B">
      <w:pPr>
        <w:widowControl/>
        <w:autoSpaceDE w:val="0"/>
        <w:autoSpaceDN w:val="0"/>
        <w:adjustRightInd w:val="0"/>
        <w:spacing w:line="360" w:lineRule="auto"/>
        <w:jc w:val="left"/>
        <w:rPr>
          <w:rFonts w:hint="eastAsia" w:ascii="微软雅黑" w:hAnsi="微软雅黑" w:eastAsia="微软雅黑" w:cs="微软雅黑"/>
          <w:b/>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Q6：我如何得到电子直付卡？</w:t>
      </w:r>
    </w:p>
    <w:p w14:paraId="4A571E9B">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A6：前往网络内直付医疗机构就诊时，请带好就诊人的电子直付卡和含照片的有效证件。</w:t>
      </w:r>
    </w:p>
    <w:p w14:paraId="0B3DF2A9">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您可以通过以下任一方式获取您的直付卡：</w:t>
      </w:r>
    </w:p>
    <w:p w14:paraId="6292E268">
      <w:pPr>
        <w:pStyle w:val="21"/>
        <w:widowControl/>
        <w:numPr>
          <w:ilvl w:val="0"/>
          <w:numId w:val="4"/>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通过“众安健康微信公众号”或者“众安健康微信小程序”——跳转至“Prosper柏盛健康”微信小程序中选择“电子直付卡”，进行查看；</w:t>
      </w:r>
    </w:p>
    <w:p w14:paraId="563380B0">
      <w:pPr>
        <w:pStyle w:val="21"/>
        <w:widowControl/>
        <w:numPr>
          <w:ilvl w:val="0"/>
          <w:numId w:val="4"/>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通过“Prosper柏盛健康”微信小程序中选择“电子保险卡”，进行查看。</w:t>
      </w:r>
    </w:p>
    <w:p w14:paraId="25537A11">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29F572E0">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374D485F">
      <w:pPr>
        <w:widowControl/>
        <w:autoSpaceDE w:val="0"/>
        <w:autoSpaceDN w:val="0"/>
        <w:adjustRightInd w:val="0"/>
        <w:spacing w:line="360" w:lineRule="auto"/>
        <w:jc w:val="left"/>
        <w:rPr>
          <w:rFonts w:hint="eastAsia" w:ascii="微软雅黑" w:hAnsi="微软雅黑" w:eastAsia="微软雅黑" w:cs="微软雅黑"/>
          <w:b/>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Q7：我如何使用尊享健康管理服务？</w:t>
      </w:r>
    </w:p>
    <w:p w14:paraId="2471A82B">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A7：详见《尊享e生·中高端医疗保险PLUS（2025版）尊享健康管理服务手册》，您可以通过本产品销售页面获取服务手册。</w:t>
      </w:r>
    </w:p>
    <w:p w14:paraId="371A299C">
      <w:pPr>
        <w:pStyle w:val="21"/>
        <w:widowControl/>
        <w:numPr>
          <w:ilvl w:val="0"/>
          <w:numId w:val="5"/>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本保单包含尊享健康管理服务，限被保险人本人且在的保险期限内使用。</w:t>
      </w:r>
    </w:p>
    <w:p w14:paraId="4FB49802">
      <w:pPr>
        <w:pStyle w:val="21"/>
        <w:widowControl/>
        <w:numPr>
          <w:ilvl w:val="0"/>
          <w:numId w:val="5"/>
        </w:numPr>
        <w:autoSpaceDE w:val="0"/>
        <w:autoSpaceDN w:val="0"/>
        <w:adjustRightInd w:val="0"/>
        <w:spacing w:line="360" w:lineRule="auto"/>
        <w:ind w:firstLineChars="0"/>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尊享健康管理服务包括4项可选服务，您可以从4项服务中任意选择其中的1项。您选定1项服务后，其他4项服务视为自动放弃并失效。您选定服务后，一个保单年度内不得变更。4项臻选客户服务包括体检服务、儿童健康服务、康复理疗服务和药无忧自选服务包。您可众安健康微信公众号中“我的保单”的保单服务中选择使用本服务。</w:t>
      </w:r>
    </w:p>
    <w:p w14:paraId="0645FA93">
      <w:pPr>
        <w:pStyle w:val="21"/>
        <w:widowControl/>
        <w:numPr>
          <w:ilvl w:val="0"/>
          <w:numId w:val="5"/>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尊享健康管理服务限被保险人本人在保单生效15日后的保险期限内使用，服务电话：10109955或952299。</w:t>
      </w:r>
    </w:p>
    <w:p w14:paraId="463666C1">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430720EF">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0E7EB0D3">
      <w:pPr>
        <w:widowControl/>
        <w:autoSpaceDE w:val="0"/>
        <w:autoSpaceDN w:val="0"/>
        <w:adjustRightInd w:val="0"/>
        <w:spacing w:line="360" w:lineRule="auto"/>
        <w:jc w:val="left"/>
        <w:rPr>
          <w:rFonts w:hint="eastAsia" w:ascii="微软雅黑" w:hAnsi="微软雅黑" w:eastAsia="微软雅黑" w:cs="微软雅黑"/>
          <w:b/>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Q8：免赔额是什么意思?</w:t>
      </w:r>
    </w:p>
    <w:p w14:paraId="2D524F8B">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ascii="微软雅黑" w:hAnsi="微软雅黑" w:eastAsia="微软雅黑" w:cs="微软雅黑"/>
          <w:bCs/>
          <w:color w:val="000000" w:themeColor="text1"/>
          <w:szCs w:val="21"/>
          <w14:textFill>
            <w14:solidFill>
              <w14:schemeClr w14:val="tx1"/>
            </w14:solidFill>
          </w14:textFill>
        </w:rPr>
        <w:t>A</w:t>
      </w:r>
      <w:r>
        <w:rPr>
          <w:rFonts w:hint="eastAsia" w:ascii="微软雅黑" w:hAnsi="微软雅黑" w:eastAsia="微软雅黑" w:cs="微软雅黑"/>
          <w:bCs/>
          <w:color w:val="000000" w:themeColor="text1"/>
          <w:szCs w:val="21"/>
          <w14:textFill>
            <w14:solidFill>
              <w14:schemeClr w14:val="tx1"/>
            </w14:solidFill>
          </w14:textFill>
        </w:rPr>
        <w:t>8</w:t>
      </w:r>
      <w:r>
        <w:rPr>
          <w:rFonts w:ascii="微软雅黑" w:hAnsi="微软雅黑" w:eastAsia="微软雅黑" w:cs="微软雅黑"/>
          <w:bCs/>
          <w:color w:val="000000" w:themeColor="text1"/>
          <w:szCs w:val="21"/>
          <w14:textFill>
            <w14:solidFill>
              <w14:schemeClr w14:val="tx1"/>
            </w14:solidFill>
          </w14:textFill>
        </w:rPr>
        <w:t>：</w:t>
      </w:r>
      <w:r>
        <w:rPr>
          <w:rFonts w:hint="eastAsia" w:ascii="微软雅黑" w:hAnsi="微软雅黑" w:eastAsia="微软雅黑" w:cs="微软雅黑"/>
          <w:bCs/>
          <w:color w:val="000000" w:themeColor="text1"/>
          <w:szCs w:val="21"/>
          <w14:textFill>
            <w14:solidFill>
              <w14:schemeClr w14:val="tx1"/>
            </w14:solidFill>
          </w14:textFill>
        </w:rPr>
        <w:t>免赔额指的是需要被保险人自行承担，保险公司不负责赔偿的部分。免赔额的设立可降低保费，让更多用户享受实惠的尊享e生·中高端医疗保险P</w:t>
      </w:r>
      <w:r>
        <w:rPr>
          <w:rFonts w:ascii="微软雅黑" w:hAnsi="微软雅黑" w:eastAsia="微软雅黑" w:cs="微软雅黑"/>
          <w:bCs/>
          <w:color w:val="000000" w:themeColor="text1"/>
          <w:szCs w:val="21"/>
          <w14:textFill>
            <w14:solidFill>
              <w14:schemeClr w14:val="tx1"/>
            </w14:solidFill>
          </w14:textFill>
        </w:rPr>
        <w:t>LUS</w:t>
      </w:r>
      <w:r>
        <w:rPr>
          <w:rFonts w:hint="eastAsia" w:ascii="微软雅黑" w:hAnsi="微软雅黑" w:eastAsia="微软雅黑" w:cs="微软雅黑"/>
          <w:bCs/>
          <w:color w:val="000000" w:themeColor="text1"/>
          <w:szCs w:val="21"/>
          <w14:textFill>
            <w14:solidFill>
              <w14:schemeClr w14:val="tx1"/>
            </w14:solidFill>
          </w14:textFill>
        </w:rPr>
        <w:t>（2025版）的价格。</w:t>
      </w:r>
    </w:p>
    <w:p w14:paraId="1233E7DE">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本产品一般医疗责任年免赔额可依据您的需求在投保时选择，并在保单中载明：0元、1</w:t>
      </w:r>
      <w:r>
        <w:rPr>
          <w:rFonts w:ascii="微软雅黑" w:hAnsi="微软雅黑" w:eastAsia="微软雅黑" w:cs="微软雅黑"/>
          <w:bCs/>
          <w:color w:val="000000" w:themeColor="text1"/>
          <w:szCs w:val="21"/>
          <w14:textFill>
            <w14:solidFill>
              <w14:schemeClr w14:val="tx1"/>
            </w14:solidFill>
          </w14:textFill>
        </w:rPr>
        <w:t>.5</w:t>
      </w:r>
      <w:r>
        <w:rPr>
          <w:rFonts w:hint="eastAsia" w:ascii="微软雅黑" w:hAnsi="微软雅黑" w:eastAsia="微软雅黑" w:cs="微软雅黑"/>
          <w:bCs/>
          <w:color w:val="000000" w:themeColor="text1"/>
          <w:szCs w:val="21"/>
          <w14:textFill>
            <w14:solidFill>
              <w14:schemeClr w14:val="tx1"/>
            </w14:solidFill>
          </w14:textFill>
        </w:rPr>
        <w:t>万元或3万元。</w:t>
      </w:r>
    </w:p>
    <w:p w14:paraId="49C24683">
      <w:pPr>
        <w:pStyle w:val="21"/>
        <w:widowControl/>
        <w:numPr>
          <w:ilvl w:val="0"/>
          <w:numId w:val="6"/>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若您在保险期间内因遭受意外伤害事故或在等待期后经医院初次确诊罹患疾病，在限经中华人民共和国卫生部门审核认定的、当地基本医疗保险管理机构最新公布的二级及二级以上的定点医院（但不包括《扩展承保及除外医疗机构清单》中的除外医疗机构）的普通部接受治疗时，保险人在给付一般医疗保险金时不扣除一般医疗保险金约定的免赔额。</w:t>
      </w:r>
    </w:p>
    <w:p w14:paraId="3D17E037">
      <w:pPr>
        <w:pStyle w:val="21"/>
        <w:widowControl/>
        <w:numPr>
          <w:ilvl w:val="0"/>
          <w:numId w:val="6"/>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本产品其余责任的免赔额为0；</w:t>
      </w:r>
    </w:p>
    <w:p w14:paraId="739EF80F">
      <w:pPr>
        <w:pStyle w:val="21"/>
        <w:widowControl/>
        <w:numPr>
          <w:ilvl w:val="0"/>
          <w:numId w:val="6"/>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本产品的年免赔额为相对免赔额，被保险人自行承担的基本医疗保险个人账户支出的医疗费用、从基本医疗保险和公费医疗保险之外的其他途径获得的医疗费用补偿、通过基本医疗保险和公费医疗保险获得的补偿，若属于本合同保险责任范围内的、治疗实际发生的、必需且合理的医疗费用，都是可以抵扣免赔额的。因此可以定义为相对免赔额。</w:t>
      </w:r>
    </w:p>
    <w:p w14:paraId="0C44EC67">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4B2DED22">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68266F64">
      <w:pPr>
        <w:widowControl/>
        <w:autoSpaceDE w:val="0"/>
        <w:autoSpaceDN w:val="0"/>
        <w:adjustRightInd w:val="0"/>
        <w:spacing w:line="360" w:lineRule="auto"/>
        <w:jc w:val="left"/>
        <w:rPr>
          <w:rFonts w:hint="eastAsia" w:ascii="微软雅黑" w:hAnsi="微软雅黑" w:eastAsia="微软雅黑" w:cs="微软雅黑"/>
          <w:b/>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Q9：投保前已经生的病可以赔付么？</w:t>
      </w:r>
    </w:p>
    <w:p w14:paraId="258C3E73">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ascii="微软雅黑" w:hAnsi="微软雅黑" w:eastAsia="微软雅黑" w:cs="微软雅黑"/>
          <w:bCs/>
          <w:color w:val="000000" w:themeColor="text1"/>
          <w:szCs w:val="21"/>
          <w14:textFill>
            <w14:solidFill>
              <w14:schemeClr w14:val="tx1"/>
            </w14:solidFill>
          </w14:textFill>
        </w:rPr>
        <w:t>A</w:t>
      </w:r>
      <w:r>
        <w:rPr>
          <w:rFonts w:hint="eastAsia" w:ascii="微软雅黑" w:hAnsi="微软雅黑" w:eastAsia="微软雅黑" w:cs="微软雅黑"/>
          <w:bCs/>
          <w:color w:val="000000" w:themeColor="text1"/>
          <w:szCs w:val="21"/>
          <w14:textFill>
            <w14:solidFill>
              <w14:schemeClr w14:val="tx1"/>
            </w14:solidFill>
          </w14:textFill>
        </w:rPr>
        <w:t>9</w:t>
      </w:r>
      <w:r>
        <w:rPr>
          <w:rFonts w:ascii="微软雅黑" w:hAnsi="微软雅黑" w:eastAsia="微软雅黑" w:cs="微软雅黑"/>
          <w:bCs/>
          <w:color w:val="000000" w:themeColor="text1"/>
          <w:szCs w:val="21"/>
          <w14:textFill>
            <w14:solidFill>
              <w14:schemeClr w14:val="tx1"/>
            </w14:solidFill>
          </w14:textFill>
        </w:rPr>
        <w:t>：不可以</w:t>
      </w:r>
      <w:r>
        <w:rPr>
          <w:rFonts w:hint="eastAsia" w:ascii="微软雅黑" w:hAnsi="微软雅黑" w:eastAsia="微软雅黑" w:cs="微软雅黑"/>
          <w:bCs/>
          <w:color w:val="000000" w:themeColor="text1"/>
          <w:szCs w:val="21"/>
          <w14:textFill>
            <w14:solidFill>
              <w14:schemeClr w14:val="tx1"/>
            </w14:solidFill>
          </w14:textFill>
        </w:rPr>
        <w:t>（因保单特别约定承保的不受此限）</w:t>
      </w:r>
      <w:r>
        <w:rPr>
          <w:rFonts w:ascii="微软雅黑" w:hAnsi="微软雅黑" w:eastAsia="微软雅黑" w:cs="微软雅黑"/>
          <w:bCs/>
          <w:color w:val="000000" w:themeColor="text1"/>
          <w:szCs w:val="21"/>
          <w14:textFill>
            <w14:solidFill>
              <w14:schemeClr w14:val="tx1"/>
            </w14:solidFill>
          </w14:textFill>
        </w:rPr>
        <w:t>。</w:t>
      </w:r>
      <w:r>
        <w:rPr>
          <w:rFonts w:hint="eastAsia" w:ascii="微软雅黑" w:hAnsi="微软雅黑" w:eastAsia="微软雅黑" w:cs="微软雅黑"/>
          <w:bCs/>
          <w:color w:val="000000" w:themeColor="text1"/>
          <w:szCs w:val="21"/>
          <w14:textFill>
            <w14:solidFill>
              <w14:schemeClr w14:val="tx1"/>
            </w14:solidFill>
          </w14:textFill>
        </w:rPr>
        <w:t>既往症指在保单生效之前被保险人已患有的且已知晓的有关疾病或症状。</w:t>
      </w:r>
      <w:r>
        <w:rPr>
          <w:rFonts w:ascii="微软雅黑" w:hAnsi="微软雅黑" w:eastAsia="微软雅黑" w:cs="微软雅黑"/>
          <w:bCs/>
          <w:color w:val="000000" w:themeColor="text1"/>
          <w:szCs w:val="21"/>
          <w14:textFill>
            <w14:solidFill>
              <w14:schemeClr w14:val="tx1"/>
            </w14:solidFill>
          </w14:textFill>
        </w:rPr>
        <w:t>为了</w:t>
      </w:r>
      <w:r>
        <w:rPr>
          <w:rFonts w:hint="eastAsia" w:ascii="微软雅黑" w:hAnsi="微软雅黑" w:eastAsia="微软雅黑" w:cs="微软雅黑"/>
          <w:bCs/>
          <w:color w:val="000000" w:themeColor="text1"/>
          <w:szCs w:val="21"/>
          <w14:textFill>
            <w14:solidFill>
              <w14:schemeClr w14:val="tx1"/>
            </w14:solidFill>
          </w14:textFill>
        </w:rPr>
        <w:t>让</w:t>
      </w:r>
      <w:r>
        <w:rPr>
          <w:rFonts w:ascii="微软雅黑" w:hAnsi="微软雅黑" w:eastAsia="微软雅黑" w:cs="微软雅黑"/>
          <w:bCs/>
          <w:color w:val="000000" w:themeColor="text1"/>
          <w:szCs w:val="21"/>
          <w14:textFill>
            <w14:solidFill>
              <w14:schemeClr w14:val="tx1"/>
            </w14:solidFill>
          </w14:textFill>
        </w:rPr>
        <w:t>大家可以用</w:t>
      </w:r>
      <w:r>
        <w:rPr>
          <w:rFonts w:hint="eastAsia" w:ascii="微软雅黑" w:hAnsi="微软雅黑" w:eastAsia="微软雅黑" w:cs="微软雅黑"/>
          <w:bCs/>
          <w:color w:val="000000" w:themeColor="text1"/>
          <w:szCs w:val="21"/>
          <w14:textFill>
            <w14:solidFill>
              <w14:schemeClr w14:val="tx1"/>
            </w14:solidFill>
          </w14:textFill>
        </w:rPr>
        <w:t>实惠</w:t>
      </w:r>
      <w:r>
        <w:rPr>
          <w:rFonts w:ascii="微软雅黑" w:hAnsi="微软雅黑" w:eastAsia="微软雅黑" w:cs="微软雅黑"/>
          <w:bCs/>
          <w:color w:val="000000" w:themeColor="text1"/>
          <w:szCs w:val="21"/>
          <w14:textFill>
            <w14:solidFill>
              <w14:schemeClr w14:val="tx1"/>
            </w14:solidFill>
          </w14:textFill>
        </w:rPr>
        <w:t>的保费获得</w:t>
      </w:r>
      <w:r>
        <w:rPr>
          <w:rFonts w:hint="eastAsia" w:ascii="微软雅黑" w:hAnsi="微软雅黑" w:eastAsia="微软雅黑" w:cs="微软雅黑"/>
          <w:bCs/>
          <w:color w:val="000000" w:themeColor="text1"/>
          <w:szCs w:val="21"/>
          <w14:textFill>
            <w14:solidFill>
              <w14:schemeClr w14:val="tx1"/>
            </w14:solidFill>
          </w14:textFill>
        </w:rPr>
        <w:t>充足</w:t>
      </w:r>
      <w:r>
        <w:rPr>
          <w:rFonts w:ascii="微软雅黑" w:hAnsi="微软雅黑" w:eastAsia="微软雅黑" w:cs="微软雅黑"/>
          <w:bCs/>
          <w:color w:val="000000" w:themeColor="text1"/>
          <w:szCs w:val="21"/>
          <w14:textFill>
            <w14:solidFill>
              <w14:schemeClr w14:val="tx1"/>
            </w14:solidFill>
          </w14:textFill>
        </w:rPr>
        <w:t>的保障，在发生疾病时真正获得</w:t>
      </w:r>
      <w:r>
        <w:rPr>
          <w:rFonts w:hint="eastAsia" w:ascii="微软雅黑" w:hAnsi="微软雅黑" w:eastAsia="微软雅黑" w:cs="微软雅黑"/>
          <w:bCs/>
          <w:color w:val="000000" w:themeColor="text1"/>
          <w:szCs w:val="21"/>
          <w14:textFill>
            <w14:solidFill>
              <w14:schemeClr w14:val="tx1"/>
            </w14:solidFill>
          </w14:textFill>
        </w:rPr>
        <w:t>及时的</w:t>
      </w:r>
      <w:r>
        <w:rPr>
          <w:rFonts w:ascii="微软雅黑" w:hAnsi="微软雅黑" w:eastAsia="微软雅黑" w:cs="微软雅黑"/>
          <w:bCs/>
          <w:color w:val="000000" w:themeColor="text1"/>
          <w:szCs w:val="21"/>
          <w14:textFill>
            <w14:solidFill>
              <w14:schemeClr w14:val="tx1"/>
            </w14:solidFill>
          </w14:textFill>
        </w:rPr>
        <w:t>医疗费用赔付，</w:t>
      </w:r>
      <w:r>
        <w:rPr>
          <w:rFonts w:hint="eastAsia" w:ascii="微软雅黑" w:hAnsi="微软雅黑" w:eastAsia="微软雅黑" w:cs="微软雅黑"/>
          <w:bCs/>
          <w:color w:val="000000" w:themeColor="text1"/>
          <w:szCs w:val="21"/>
          <w14:textFill>
            <w14:solidFill>
              <w14:schemeClr w14:val="tx1"/>
            </w14:solidFill>
          </w14:textFill>
        </w:rPr>
        <w:t>保险公司对既往症不承担赔付保险金的责任。举例：小安在3月1日为自己投保了一份医疗保险，于6月10日因“痛风”住院治疗，出院后向保险公司申请理赔。保险公司审核发现，小安在保单生效前1年已被诊断为痛风，并曾间断服药治疗，故“痛风”为本合同的既往症，不能获得赔付。</w:t>
      </w:r>
    </w:p>
    <w:p w14:paraId="29ED3E79">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0D8277D6">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32EA8FE2">
      <w:pPr>
        <w:widowControl/>
        <w:autoSpaceDE w:val="0"/>
        <w:autoSpaceDN w:val="0"/>
        <w:adjustRightInd w:val="0"/>
        <w:spacing w:line="360" w:lineRule="auto"/>
        <w:jc w:val="left"/>
        <w:rPr>
          <w:rFonts w:hint="eastAsia" w:ascii="微软雅黑" w:hAnsi="微软雅黑" w:eastAsia="微软雅黑" w:cs="微软雅黑"/>
          <w:b/>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Q10：本产品的等待期有多久？</w:t>
      </w:r>
    </w:p>
    <w:p w14:paraId="2AAAC83F">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ascii="微软雅黑" w:hAnsi="微软雅黑" w:eastAsia="微软雅黑" w:cs="微软雅黑"/>
          <w:bCs/>
          <w:color w:val="000000" w:themeColor="text1"/>
          <w:szCs w:val="21"/>
          <w14:textFill>
            <w14:solidFill>
              <w14:schemeClr w14:val="tx1"/>
            </w14:solidFill>
          </w14:textFill>
        </w:rPr>
        <w:t>A</w:t>
      </w:r>
      <w:r>
        <w:rPr>
          <w:rFonts w:hint="eastAsia" w:ascii="微软雅黑" w:hAnsi="微软雅黑" w:eastAsia="微软雅黑" w:cs="微软雅黑"/>
          <w:bCs/>
          <w:color w:val="000000" w:themeColor="text1"/>
          <w:szCs w:val="21"/>
          <w14:textFill>
            <w14:solidFill>
              <w14:schemeClr w14:val="tx1"/>
            </w14:solidFill>
          </w14:textFill>
        </w:rPr>
        <w:t>10</w:t>
      </w:r>
      <w:r>
        <w:rPr>
          <w:rFonts w:ascii="微软雅黑" w:hAnsi="微软雅黑" w:eastAsia="微软雅黑" w:cs="微软雅黑"/>
          <w:bCs/>
          <w:color w:val="000000" w:themeColor="text1"/>
          <w:szCs w:val="21"/>
          <w14:textFill>
            <w14:solidFill>
              <w14:schemeClr w14:val="tx1"/>
            </w14:solidFill>
          </w14:textFill>
        </w:rPr>
        <w:t>：</w:t>
      </w:r>
    </w:p>
    <w:p w14:paraId="0DEF1253">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等待期为自合同生效日起计算的一段时间，具体天数在合同上载明。在等待期内发生保险事故的,保险公司不承担赔付保险金的责任。等待期的设置是健康保险产品的常规做法，可以保证大部分如实告知客户的投保利益，防范少数人未如实告知增加保险公司赔付成本，尽量规避因此导致的保费飙升让全体投保人买单。因意外伤害导致的事故没有等待期。举例：小安为自己投保了一份医疗保险，生效日为1月1日，合同约定的等待期为30天。小安在1月15日因“肺炎”住院治疗，1月25日痊愈出院。因为小安1月15日的住院发生在医疗保险的等待期内，所以保险公司不承担赔付保险金的责任</w:t>
      </w:r>
    </w:p>
    <w:p w14:paraId="595B7026">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本产品等待期30天；在上一张保单期满后于保险人指定期限内通过指定路径重新投保、因遭受意外伤害导致的医疗无等待期。</w:t>
      </w:r>
    </w:p>
    <w:p w14:paraId="54175F9B">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1FBBAD1B">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38E825AD">
      <w:pPr>
        <w:widowControl/>
        <w:autoSpaceDE w:val="0"/>
        <w:autoSpaceDN w:val="0"/>
        <w:adjustRightInd w:val="0"/>
        <w:spacing w:line="360" w:lineRule="auto"/>
        <w:jc w:val="left"/>
        <w:rPr>
          <w:rFonts w:hint="eastAsia" w:ascii="微软雅黑" w:hAnsi="微软雅黑" w:eastAsia="微软雅黑" w:cs="微软雅黑"/>
          <w:b/>
          <w:color w:val="000000" w:themeColor="text1"/>
          <w:szCs w:val="21"/>
          <w14:textFill>
            <w14:solidFill>
              <w14:schemeClr w14:val="tx1"/>
            </w14:solidFill>
          </w14:textFill>
        </w:rPr>
      </w:pPr>
      <w:r>
        <w:rPr>
          <w:rFonts w:ascii="微软雅黑" w:hAnsi="微软雅黑" w:eastAsia="微软雅黑" w:cs="微软雅黑"/>
          <w:b/>
          <w:color w:val="000000" w:themeColor="text1"/>
          <w:szCs w:val="21"/>
          <w14:textFill>
            <w14:solidFill>
              <w14:schemeClr w14:val="tx1"/>
            </w14:solidFill>
          </w14:textFill>
        </w:rPr>
        <w:t>Q</w:t>
      </w:r>
      <w:r>
        <w:rPr>
          <w:rFonts w:hint="eastAsia" w:ascii="微软雅黑" w:hAnsi="微软雅黑" w:eastAsia="微软雅黑" w:cs="微软雅黑"/>
          <w:b/>
          <w:color w:val="000000" w:themeColor="text1"/>
          <w:szCs w:val="21"/>
          <w14:textFill>
            <w14:solidFill>
              <w14:schemeClr w14:val="tx1"/>
            </w14:solidFill>
          </w14:textFill>
        </w:rPr>
        <w:t>11</w:t>
      </w:r>
      <w:r>
        <w:rPr>
          <w:rFonts w:ascii="微软雅黑" w:hAnsi="微软雅黑" w:eastAsia="微软雅黑" w:cs="微软雅黑"/>
          <w:b/>
          <w:color w:val="000000" w:themeColor="text1"/>
          <w:szCs w:val="21"/>
          <w14:textFill>
            <w14:solidFill>
              <w14:schemeClr w14:val="tx1"/>
            </w14:solidFill>
          </w14:textFill>
        </w:rPr>
        <w:t>：</w:t>
      </w:r>
      <w:r>
        <w:rPr>
          <w:rFonts w:hint="eastAsia" w:ascii="微软雅黑" w:hAnsi="微软雅黑" w:eastAsia="微软雅黑" w:cs="微软雅黑"/>
          <w:b/>
          <w:color w:val="000000" w:themeColor="text1"/>
          <w:szCs w:val="21"/>
          <w14:textFill>
            <w14:solidFill>
              <w14:schemeClr w14:val="tx1"/>
            </w14:solidFill>
          </w14:textFill>
        </w:rPr>
        <w:t>如果跨省异地就医住院，如何快速申请直接结算？</w:t>
      </w:r>
    </w:p>
    <w:p w14:paraId="3CFA2554">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A11：目前，跨省异地就医住院费用直接结算服务已经覆盖全国所有省份、所有统筹地区。全国所有统筹地区都可以依托国家医保服务平台实现异地就医线上备案跨省通办。公众可直接登录国家医保服务平台APP、国家异地就医备案小程序或者国家政务服务平台办理异地就医备案。此外，还提供刷脸办理、亲属代办等医保服务。</w:t>
      </w:r>
    </w:p>
    <w:p w14:paraId="6376EC4B">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大家一定要记得国家的这项福利，避免“以有基本医疗保险或公费医疗身份参保，但本次治疗费用未获得基本医疗保险或公费医疗补偿的，按另行约定的赔付比例进行赔付”的情况发生。</w:t>
      </w:r>
    </w:p>
    <w:p w14:paraId="4BA4F978">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br w:type="page"/>
      </w:r>
    </w:p>
    <w:p w14:paraId="3C5F226A">
      <w:pPr>
        <w:widowControl/>
        <w:autoSpaceDE w:val="0"/>
        <w:autoSpaceDN w:val="0"/>
        <w:adjustRightInd w:val="0"/>
        <w:spacing w:line="360" w:lineRule="auto"/>
        <w:jc w:val="left"/>
        <w:rPr>
          <w:rFonts w:hint="eastAsia" w:ascii="微软雅黑" w:hAnsi="微软雅黑" w:eastAsia="微软雅黑" w:cs="微软雅黑"/>
          <w:b/>
          <w:color w:val="000000" w:themeColor="text1"/>
          <w:sz w:val="28"/>
          <w:szCs w:val="28"/>
          <w14:textFill>
            <w14:solidFill>
              <w14:schemeClr w14:val="tx1"/>
            </w14:solidFill>
          </w14:textFill>
        </w:rPr>
      </w:pPr>
      <w:r>
        <w:rPr>
          <w:rFonts w:hint="eastAsia" w:ascii="微软雅黑" w:hAnsi="微软雅黑" w:eastAsia="微软雅黑" w:cs="微软雅黑"/>
          <w:b/>
          <w:color w:val="000000" w:themeColor="text1"/>
          <w:sz w:val="28"/>
          <w:szCs w:val="28"/>
          <w14:textFill>
            <w14:solidFill>
              <w14:schemeClr w14:val="tx1"/>
            </w14:solidFill>
          </w14:textFill>
        </w:rPr>
        <w:t>重新投保相关</w:t>
      </w:r>
    </w:p>
    <w:p w14:paraId="28B817D9">
      <w:pPr>
        <w:widowControl/>
        <w:autoSpaceDE w:val="0"/>
        <w:autoSpaceDN w:val="0"/>
        <w:adjustRightInd w:val="0"/>
        <w:spacing w:line="360" w:lineRule="auto"/>
        <w:jc w:val="left"/>
        <w:rPr>
          <w:rFonts w:hint="eastAsia" w:ascii="微软雅黑" w:hAnsi="微软雅黑" w:eastAsia="微软雅黑" w:cs="微软雅黑"/>
          <w:b/>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Q12：保险期间是多久？理赔或停售后还可以重新投保吗？</w:t>
      </w:r>
    </w:p>
    <w:p w14:paraId="3977A36B">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ascii="微软雅黑" w:hAnsi="微软雅黑" w:eastAsia="微软雅黑" w:cs="微软雅黑"/>
          <w:bCs/>
          <w:color w:val="000000" w:themeColor="text1"/>
          <w:szCs w:val="21"/>
          <w14:textFill>
            <w14:solidFill>
              <w14:schemeClr w14:val="tx1"/>
            </w14:solidFill>
          </w14:textFill>
        </w:rPr>
        <w:t>A</w:t>
      </w:r>
      <w:r>
        <w:rPr>
          <w:rFonts w:hint="eastAsia" w:ascii="微软雅黑" w:hAnsi="微软雅黑" w:eastAsia="微软雅黑" w:cs="微软雅黑"/>
          <w:bCs/>
          <w:color w:val="000000" w:themeColor="text1"/>
          <w:szCs w:val="21"/>
          <w14:textFill>
            <w14:solidFill>
              <w14:schemeClr w14:val="tx1"/>
            </w14:solidFill>
          </w14:textFill>
        </w:rPr>
        <w:t>12</w:t>
      </w:r>
      <w:r>
        <w:rPr>
          <w:rFonts w:ascii="微软雅黑" w:hAnsi="微软雅黑" w:eastAsia="微软雅黑" w:cs="微软雅黑"/>
          <w:bCs/>
          <w:color w:val="000000" w:themeColor="text1"/>
          <w:szCs w:val="21"/>
          <w14:textFill>
            <w14:solidFill>
              <w14:schemeClr w14:val="tx1"/>
            </w14:solidFill>
          </w14:textFill>
        </w:rPr>
        <w:t>：</w:t>
      </w:r>
      <w:r>
        <w:rPr>
          <w:rFonts w:hint="eastAsia" w:ascii="微软雅黑" w:hAnsi="微软雅黑" w:eastAsia="微软雅黑" w:cs="微软雅黑"/>
          <w:bCs/>
          <w:color w:val="000000" w:themeColor="text1"/>
          <w:szCs w:val="21"/>
          <w14:textFill>
            <w14:solidFill>
              <w14:schemeClr w14:val="tx1"/>
            </w14:solidFill>
          </w14:textFill>
        </w:rPr>
        <w:t xml:space="preserve"> 本产品保险期间为一年。保险期间届满，投保人需要重新向保险公司申请投保本产品，交纳保险费，并获得新的保险合同。在上一张保单期满后于保险人指定期限内通过指定路径重新投保的，不计算等待期。如对重新投保有疑问，可致电众安客服进行咨询。我们审核通过方可为投保人办理重新投保手续。</w:t>
      </w:r>
    </w:p>
    <w:p w14:paraId="3DC51391">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特定疾病住院津贴责任、特定疾病异地转诊公共交通费用及住宿费用责任、门急诊医疗责任（门急诊医疗加油包）和互联网药品费用医疗责任（门急诊医疗加油包），需经保险人审核同意后方可重新投保。重大疾病责任（重大疾病加油包）理赔后不得重新投保。</w:t>
      </w:r>
    </w:p>
    <w:p w14:paraId="03B0998F">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76B851BD">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538B4259">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428C6AF7">
      <w:pPr>
        <w:widowControl/>
        <w:autoSpaceDE w:val="0"/>
        <w:autoSpaceDN w:val="0"/>
        <w:adjustRightInd w:val="0"/>
        <w:spacing w:line="360" w:lineRule="auto"/>
        <w:jc w:val="left"/>
        <w:rPr>
          <w:rFonts w:hint="eastAsia" w:ascii="微软雅黑" w:hAnsi="微软雅黑" w:eastAsia="微软雅黑" w:cs="微软雅黑"/>
          <w:b/>
          <w:color w:val="000000" w:themeColor="text1"/>
          <w:sz w:val="28"/>
          <w:szCs w:val="28"/>
          <w14:textFill>
            <w14:solidFill>
              <w14:schemeClr w14:val="tx1"/>
            </w14:solidFill>
          </w14:textFill>
        </w:rPr>
      </w:pPr>
      <w:r>
        <w:rPr>
          <w:rFonts w:hint="eastAsia" w:ascii="微软雅黑" w:hAnsi="微软雅黑" w:eastAsia="微软雅黑" w:cs="微软雅黑"/>
          <w:b/>
          <w:color w:val="000000" w:themeColor="text1"/>
          <w:sz w:val="28"/>
          <w:szCs w:val="28"/>
          <w14:textFill>
            <w14:solidFill>
              <w14:schemeClr w14:val="tx1"/>
            </w14:solidFill>
          </w14:textFill>
        </w:rPr>
        <w:t>特定药品费用相关</w:t>
      </w:r>
    </w:p>
    <w:p w14:paraId="1FF04CC4">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Q13：特定药品费用责任包含哪些疾病范围及药品范围？</w:t>
      </w:r>
      <w:r>
        <w:rPr>
          <w:rFonts w:hint="eastAsia" w:ascii="微软雅黑" w:hAnsi="微软雅黑" w:eastAsia="微软雅黑" w:cs="微软雅黑"/>
          <w:b/>
          <w:color w:val="000000" w:themeColor="text1"/>
          <w:szCs w:val="21"/>
          <w14:textFill>
            <w14:solidFill>
              <w14:schemeClr w14:val="tx1"/>
            </w14:solidFill>
          </w14:textFill>
        </w:rPr>
        <w:br w:type="textWrapping"/>
      </w:r>
      <w:r>
        <w:rPr>
          <w:rFonts w:ascii="微软雅黑" w:hAnsi="微软雅黑" w:eastAsia="微软雅黑" w:cs="微软雅黑"/>
          <w:bCs/>
          <w:color w:val="000000" w:themeColor="text1"/>
          <w:szCs w:val="21"/>
          <w14:textFill>
            <w14:solidFill>
              <w14:schemeClr w14:val="tx1"/>
            </w14:solidFill>
          </w14:textFill>
        </w:rPr>
        <w:t>A</w:t>
      </w:r>
      <w:r>
        <w:rPr>
          <w:rFonts w:hint="eastAsia" w:ascii="微软雅黑" w:hAnsi="微软雅黑" w:eastAsia="微软雅黑" w:cs="微软雅黑"/>
          <w:bCs/>
          <w:color w:val="000000" w:themeColor="text1"/>
          <w:szCs w:val="21"/>
          <w14:textFill>
            <w14:solidFill>
              <w14:schemeClr w14:val="tx1"/>
            </w14:solidFill>
          </w14:textFill>
        </w:rPr>
        <w:t>13：</w:t>
      </w:r>
    </w:p>
    <w:p w14:paraId="14A3BF6E">
      <w:pPr>
        <w:pStyle w:val="21"/>
        <w:widowControl/>
        <w:numPr>
          <w:ilvl w:val="0"/>
          <w:numId w:val="7"/>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恶性肿瘤——重度院外特定药品费用的疾病范围：被保险人在等待期后初次确诊罹患恶性肿瘤——重度</w:t>
      </w:r>
    </w:p>
    <w:p w14:paraId="2C31E833">
      <w:pPr>
        <w:pStyle w:val="21"/>
        <w:widowControl/>
        <w:numPr>
          <w:ilvl w:val="0"/>
          <w:numId w:val="7"/>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bookmarkStart w:id="2" w:name="_GoBack"/>
      <w:bookmarkEnd w:id="2"/>
      <w:r>
        <w:rPr>
          <w:rFonts w:hint="eastAsia" w:ascii="微软雅黑" w:hAnsi="微软雅黑" w:eastAsia="微软雅黑" w:cs="微软雅黑"/>
          <w:bCs/>
          <w:color w:val="000000" w:themeColor="text1"/>
          <w:szCs w:val="21"/>
          <w14:textFill>
            <w14:solidFill>
              <w14:schemeClr w14:val="tx1"/>
            </w14:solidFill>
          </w14:textFill>
        </w:rPr>
        <w:t>恶性肿瘤——重度院外特定药品费用的药品范围：本合同期满日前在中国国家药品监督管理局批准且已在中国上市的靶向药物、免疫治疗药物。（详见</w:t>
      </w:r>
      <w:r>
        <w:rPr>
          <w:rFonts w:ascii="微软雅黑" w:hAnsi="微软雅黑" w:eastAsia="微软雅黑" w:cs="微软雅黑"/>
          <w:b/>
          <w:bCs/>
          <w:color w:val="000000" w:themeColor="text1"/>
          <w:szCs w:val="21"/>
          <w14:textFill>
            <w14:solidFill>
              <w14:schemeClr w14:val="tx1"/>
            </w14:solidFill>
          </w14:textFill>
        </w:rPr>
        <w:t>《特定药品范围说明》</w:t>
      </w:r>
      <w:r>
        <w:rPr>
          <w:rFonts w:hint="eastAsia" w:ascii="微软雅黑" w:hAnsi="微软雅黑" w:eastAsia="微软雅黑" w:cs="微软雅黑"/>
          <w:bCs/>
          <w:color w:val="000000" w:themeColor="text1"/>
          <w:szCs w:val="21"/>
          <w14:textFill>
            <w14:solidFill>
              <w14:schemeClr w14:val="tx1"/>
            </w14:solidFill>
          </w14:textFill>
        </w:rPr>
        <w:t>）；</w:t>
      </w:r>
    </w:p>
    <w:p w14:paraId="0900577E">
      <w:pPr>
        <w:pStyle w:val="21"/>
        <w:widowControl/>
        <w:numPr>
          <w:ilvl w:val="0"/>
          <w:numId w:val="7"/>
        </w:numPr>
        <w:autoSpaceDE w:val="0"/>
        <w:autoSpaceDN w:val="0"/>
        <w:adjustRightInd w:val="0"/>
        <w:spacing w:line="360" w:lineRule="auto"/>
        <w:ind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罕见病特定药品费用的疾病范围：被保险人在等待期后初次确诊罹患罕见病；</w:t>
      </w:r>
    </w:p>
    <w:p w14:paraId="1B377263">
      <w:pPr>
        <w:pStyle w:val="21"/>
        <w:widowControl/>
        <w:autoSpaceDE w:val="0"/>
        <w:autoSpaceDN w:val="0"/>
        <w:adjustRightInd w:val="0"/>
        <w:spacing w:line="360" w:lineRule="auto"/>
        <w:ind w:left="440" w:firstLine="0" w:firstLineChars="0"/>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罕见病特定药品费用的药品范围：本合同期满日前在中国国家药品监督管理局批准且已在中国上市的罕见病药物。（详见</w:t>
      </w:r>
      <w:r>
        <w:rPr>
          <w:rFonts w:ascii="微软雅黑" w:hAnsi="微软雅黑" w:eastAsia="微软雅黑" w:cs="微软雅黑"/>
          <w:b/>
          <w:bCs/>
          <w:color w:val="000000" w:themeColor="text1"/>
          <w:szCs w:val="21"/>
          <w14:textFill>
            <w14:solidFill>
              <w14:schemeClr w14:val="tx1"/>
            </w14:solidFill>
          </w14:textFill>
        </w:rPr>
        <w:t>《特定药品范围说明》</w:t>
      </w:r>
      <w:r>
        <w:rPr>
          <w:rFonts w:hint="eastAsia" w:ascii="微软雅黑" w:hAnsi="微软雅黑" w:eastAsia="微软雅黑" w:cs="微软雅黑"/>
          <w:bCs/>
          <w:color w:val="000000" w:themeColor="text1"/>
          <w:szCs w:val="21"/>
          <w14:textFill>
            <w14:solidFill>
              <w14:schemeClr w14:val="tx1"/>
            </w14:solidFill>
          </w14:textFill>
        </w:rPr>
        <w:t>）；</w:t>
      </w:r>
    </w:p>
    <w:p w14:paraId="697496BC">
      <w:pPr>
        <w:pStyle w:val="21"/>
        <w:widowControl/>
        <w:numPr>
          <w:ilvl w:val="0"/>
          <w:numId w:val="7"/>
        </w:numPr>
        <w:autoSpaceDE w:val="0"/>
        <w:autoSpaceDN w:val="0"/>
        <w:adjustRightInd w:val="0"/>
        <w:spacing w:line="360" w:lineRule="auto"/>
        <w:ind w:firstLineChars="0"/>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特定进口药品费用的药品范围：本产品保险合同失效日（含失效日当日）前在国外批准上市且未在中国上市药品的靶向药物、免疫治疗药物（详见</w:t>
      </w:r>
      <w:r>
        <w:rPr>
          <w:rFonts w:ascii="微软雅黑" w:hAnsi="微软雅黑" w:eastAsia="微软雅黑" w:cs="微软雅黑"/>
          <w:b/>
          <w:bCs/>
          <w:color w:val="000000" w:themeColor="text1"/>
          <w:szCs w:val="21"/>
          <w14:textFill>
            <w14:solidFill>
              <w14:schemeClr w14:val="tx1"/>
            </w14:solidFill>
          </w14:textFill>
        </w:rPr>
        <w:t>《特定药品范围说明》</w:t>
      </w:r>
      <w:r>
        <w:rPr>
          <w:rFonts w:hint="eastAsia" w:ascii="微软雅黑" w:hAnsi="微软雅黑" w:eastAsia="微软雅黑" w:cs="微软雅黑"/>
          <w:bCs/>
          <w:color w:val="000000" w:themeColor="text1"/>
          <w:szCs w:val="21"/>
          <w14:textFill>
            <w14:solidFill>
              <w14:schemeClr w14:val="tx1"/>
            </w14:solidFill>
          </w14:textFill>
        </w:rPr>
        <w:t>）</w:t>
      </w:r>
    </w:p>
    <w:p w14:paraId="38C786B0">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5986CDA0">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 xml:space="preserve">Q14：我需要按照什么服务流程，才能拿到特定药品并完成相应特定药品费用赔付？ </w:t>
      </w:r>
      <w:r>
        <w:rPr>
          <w:rFonts w:hint="eastAsia" w:ascii="微软雅黑" w:hAnsi="微软雅黑" w:eastAsia="微软雅黑" w:cs="微软雅黑"/>
          <w:b/>
          <w:color w:val="000000" w:themeColor="text1"/>
          <w:szCs w:val="21"/>
          <w14:textFill>
            <w14:solidFill>
              <w14:schemeClr w14:val="tx1"/>
            </w14:solidFill>
          </w14:textFill>
        </w:rPr>
        <w:br w:type="textWrapping"/>
      </w:r>
      <w:r>
        <w:rPr>
          <w:rFonts w:ascii="微软雅黑" w:hAnsi="微软雅黑" w:eastAsia="微软雅黑" w:cs="微软雅黑"/>
          <w:bCs/>
          <w:color w:val="000000" w:themeColor="text1"/>
          <w:szCs w:val="21"/>
          <w14:textFill>
            <w14:solidFill>
              <w14:schemeClr w14:val="tx1"/>
            </w14:solidFill>
          </w14:textFill>
        </w:rPr>
        <w:t>A</w:t>
      </w:r>
      <w:r>
        <w:rPr>
          <w:rFonts w:hint="eastAsia" w:ascii="微软雅黑" w:hAnsi="微软雅黑" w:eastAsia="微软雅黑" w:cs="微软雅黑"/>
          <w:bCs/>
          <w:color w:val="000000" w:themeColor="text1"/>
          <w:szCs w:val="21"/>
          <w14:textFill>
            <w14:solidFill>
              <w14:schemeClr w14:val="tx1"/>
            </w14:solidFill>
          </w14:textFill>
        </w:rPr>
        <w:t>14：被保险人出险后，尽快致电众安客服电话</w:t>
      </w:r>
      <w:r>
        <w:rPr>
          <w:rFonts w:ascii="微软雅黑" w:hAnsi="微软雅黑" w:eastAsia="微软雅黑" w:cs="微软雅黑"/>
          <w:bCs/>
          <w:color w:val="000000" w:themeColor="text1"/>
          <w:szCs w:val="21"/>
          <w14:textFill>
            <w14:solidFill>
              <w14:schemeClr w14:val="tx1"/>
            </w14:solidFill>
          </w14:textFill>
        </w:rPr>
        <w:t>952299或1010-9955</w:t>
      </w:r>
      <w:r>
        <w:rPr>
          <w:rFonts w:hint="eastAsia" w:ascii="微软雅黑" w:hAnsi="微软雅黑" w:eastAsia="微软雅黑" w:cs="微软雅黑"/>
          <w:bCs/>
          <w:color w:val="000000" w:themeColor="text1"/>
          <w:szCs w:val="21"/>
          <w14:textFill>
            <w14:solidFill>
              <w14:schemeClr w14:val="tx1"/>
            </w14:solidFill>
          </w14:textFill>
        </w:rPr>
        <w:t>进行报案，被保险人需根据指示提交相应资料进行授权申请和处方审核，经保险人审核通过后，便可按指引在保险人指定药店购买特定药品，并享受药品费用直结。</w:t>
      </w:r>
    </w:p>
    <w:p w14:paraId="238B5C1A">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34591748">
      <w:pPr>
        <w:widowControl/>
        <w:autoSpaceDE w:val="0"/>
        <w:autoSpaceDN w:val="0"/>
        <w:adjustRightInd w:val="0"/>
        <w:spacing w:line="360" w:lineRule="auto"/>
        <w:jc w:val="left"/>
        <w:rPr>
          <w:rFonts w:hint="eastAsia" w:ascii="微软雅黑" w:hAnsi="微软雅黑" w:eastAsia="微软雅黑" w:cs="微软雅黑"/>
          <w:b/>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Q15：通常有哪些情况特药处方申请审核不通过？</w:t>
      </w:r>
    </w:p>
    <w:p w14:paraId="58DEE3B8">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A15：为了被保险人的健康，通常在下列情况特药处方申请审核不通过</w:t>
      </w:r>
      <w:r>
        <w:rPr>
          <w:rFonts w:ascii="微软雅黑" w:hAnsi="微软雅黑" w:eastAsia="微软雅黑" w:cs="微软雅黑"/>
          <w:bCs/>
          <w:color w:val="000000" w:themeColor="text1"/>
          <w:szCs w:val="21"/>
          <w14:textFill>
            <w14:solidFill>
              <w14:schemeClr w14:val="tx1"/>
            </w14:solidFill>
          </w14:textFill>
        </w:rPr>
        <w:t>：</w:t>
      </w:r>
    </w:p>
    <w:p w14:paraId="79D2FD61">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药品处方的开具与中国国家药品监督管理局批准的药品说明书中所列明的适应症及用法用量不一致；或者被保险人使用处方申请中的药品已有一段时间，但所提交的医学材料不能证明该药品对被保险人当前的疾病状态产生有益的治疗疗效，有益的治疗疗效指肿瘤病灶按照RECIST（实体瘤治疗疗效评价标准）评价为没有进展。</w:t>
      </w:r>
    </w:p>
    <w:p w14:paraId="2E4F75E4">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396A64D9">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br w:type="page"/>
      </w:r>
    </w:p>
    <w:p w14:paraId="75BE83F1">
      <w:pPr>
        <w:widowControl/>
        <w:autoSpaceDE w:val="0"/>
        <w:autoSpaceDN w:val="0"/>
        <w:adjustRightInd w:val="0"/>
        <w:spacing w:line="360" w:lineRule="auto"/>
        <w:jc w:val="left"/>
        <w:rPr>
          <w:rFonts w:hint="eastAsia" w:ascii="微软雅黑" w:hAnsi="微软雅黑" w:eastAsia="微软雅黑" w:cs="微软雅黑"/>
          <w:b/>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特定疾病异地转诊公共交通及住宿费用相关</w:t>
      </w:r>
    </w:p>
    <w:p w14:paraId="28D89FED">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Q</w:t>
      </w:r>
      <w:r>
        <w:rPr>
          <w:rFonts w:ascii="微软雅黑" w:hAnsi="微软雅黑" w:eastAsia="微软雅黑" w:cs="微软雅黑"/>
          <w:bCs/>
          <w:color w:val="000000" w:themeColor="text1"/>
          <w:szCs w:val="21"/>
          <w14:textFill>
            <w14:solidFill>
              <w14:schemeClr w14:val="tx1"/>
            </w14:solidFill>
          </w14:textFill>
        </w:rPr>
        <w:t>1</w:t>
      </w:r>
      <w:r>
        <w:rPr>
          <w:rFonts w:hint="eastAsia" w:ascii="微软雅黑" w:hAnsi="微软雅黑" w:eastAsia="微软雅黑" w:cs="微软雅黑"/>
          <w:bCs/>
          <w:color w:val="000000" w:themeColor="text1"/>
          <w:szCs w:val="21"/>
          <w14:textFill>
            <w14:solidFill>
              <w14:schemeClr w14:val="tx1"/>
            </w14:solidFill>
          </w14:textFill>
        </w:rPr>
        <w:t>6：什么是特定疾病异地转诊公共交通费用责任？</w:t>
      </w:r>
    </w:p>
    <w:p w14:paraId="29FDAF36">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A</w:t>
      </w:r>
      <w:r>
        <w:rPr>
          <w:rFonts w:ascii="微软雅黑" w:hAnsi="微软雅黑" w:eastAsia="微软雅黑" w:cs="微软雅黑"/>
          <w:bCs/>
          <w:color w:val="000000" w:themeColor="text1"/>
          <w:szCs w:val="21"/>
          <w14:textFill>
            <w14:solidFill>
              <w14:schemeClr w14:val="tx1"/>
            </w14:solidFill>
          </w14:textFill>
        </w:rPr>
        <w:t>1</w:t>
      </w:r>
      <w:r>
        <w:rPr>
          <w:rFonts w:hint="eastAsia" w:ascii="微软雅黑" w:hAnsi="微软雅黑" w:eastAsia="微软雅黑" w:cs="微软雅黑"/>
          <w:bCs/>
          <w:color w:val="000000" w:themeColor="text1"/>
          <w:szCs w:val="21"/>
          <w14:textFill>
            <w14:solidFill>
              <w14:schemeClr w14:val="tx1"/>
            </w14:solidFill>
          </w14:textFill>
        </w:rPr>
        <w:t>6：被保险人因遭受意外伤害事故或在等待期后初次确诊罹患的特定疾病，因治疗该特定疾病需要前往治疗地（治疗地仅限中国大陆境内，不包括境外及港澳台地区）接受符合该特定疾病治疗而产生的、被保险人和被保险人的一名亲属陪同时（如有）的、必需且合理的、因异地转诊产生的特定疾病异地转诊公共交通费用和特定疾病异地转诊住宿费用，保险人按照1</w:t>
      </w:r>
      <w:r>
        <w:rPr>
          <w:rFonts w:ascii="微软雅黑" w:hAnsi="微软雅黑" w:eastAsia="微软雅黑" w:cs="微软雅黑"/>
          <w:bCs/>
          <w:color w:val="000000" w:themeColor="text1"/>
          <w:szCs w:val="21"/>
          <w14:textFill>
            <w14:solidFill>
              <w14:schemeClr w14:val="tx1"/>
            </w14:solidFill>
          </w14:textFill>
        </w:rPr>
        <w:t>00%</w:t>
      </w:r>
      <w:r>
        <w:rPr>
          <w:rFonts w:hint="eastAsia" w:ascii="微软雅黑" w:hAnsi="微软雅黑" w:eastAsia="微软雅黑" w:cs="微软雅黑"/>
          <w:bCs/>
          <w:color w:val="000000" w:themeColor="text1"/>
          <w:szCs w:val="21"/>
          <w14:textFill>
            <w14:solidFill>
              <w14:schemeClr w14:val="tx1"/>
            </w14:solidFill>
          </w14:textFill>
        </w:rPr>
        <w:t>的给付比例进行赔付：</w:t>
      </w:r>
    </w:p>
    <w:p w14:paraId="15610E1D">
      <w:pPr>
        <w:pStyle w:val="21"/>
        <w:widowControl/>
        <w:numPr>
          <w:ilvl w:val="0"/>
          <w:numId w:val="8"/>
        </w:numPr>
        <w:autoSpaceDE w:val="0"/>
        <w:autoSpaceDN w:val="0"/>
        <w:adjustRightInd w:val="0"/>
        <w:spacing w:line="360" w:lineRule="auto"/>
        <w:ind w:firstLineChars="0"/>
        <w:jc w:val="left"/>
        <w:rPr>
          <w:rFonts w:hint="eastAsia" w:ascii="微软雅黑" w:hAnsi="微软雅黑" w:eastAsia="微软雅黑" w:cs="微软雅黑"/>
          <w:b/>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计划一年累计给付以</w:t>
      </w:r>
      <w:r>
        <w:rPr>
          <w:rFonts w:hint="eastAsia" w:ascii="微软雅黑" w:hAnsi="微软雅黑" w:eastAsia="微软雅黑" w:cs="微软雅黑"/>
          <w:b/>
          <w:color w:val="000000" w:themeColor="text1"/>
          <w:szCs w:val="21"/>
          <w:lang w:val="en-US" w:eastAsia="zh-CN"/>
          <w14:textFill>
            <w14:solidFill>
              <w14:schemeClr w14:val="tx1"/>
            </w14:solidFill>
          </w14:textFill>
        </w:rPr>
        <w:t>3</w:t>
      </w:r>
      <w:r>
        <w:rPr>
          <w:rFonts w:hint="eastAsia" w:ascii="微软雅黑" w:hAnsi="微软雅黑" w:eastAsia="微软雅黑" w:cs="微软雅黑"/>
          <w:b/>
          <w:color w:val="000000" w:themeColor="text1"/>
          <w:szCs w:val="21"/>
          <w14:textFill>
            <w14:solidFill>
              <w14:schemeClr w14:val="tx1"/>
            </w14:solidFill>
          </w14:textFill>
        </w:rPr>
        <w:t>万元为限，计划二年累计给付以5万元为限。</w:t>
      </w:r>
    </w:p>
    <w:p w14:paraId="09C3121A">
      <w:pPr>
        <w:pStyle w:val="21"/>
        <w:widowControl/>
        <w:numPr>
          <w:ilvl w:val="0"/>
          <w:numId w:val="8"/>
        </w:numPr>
        <w:autoSpaceDE w:val="0"/>
        <w:autoSpaceDN w:val="0"/>
        <w:adjustRightInd w:val="0"/>
        <w:spacing w:line="360" w:lineRule="auto"/>
        <w:ind w:firstLineChars="0"/>
        <w:jc w:val="left"/>
        <w:rPr>
          <w:rFonts w:hint="eastAsia" w:ascii="微软雅黑" w:hAnsi="微软雅黑" w:eastAsia="微软雅黑" w:cs="微软雅黑"/>
          <w:b/>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飞机舱位级别无限制，火车（含动车、高铁）座位级别无限制；住宿费为到达转院目的地后的住宿费，住宿酒店等级无限制，单日特定疾病异地转诊住宿费用无单独限制。</w:t>
      </w:r>
    </w:p>
    <w:p w14:paraId="66D9C1A6">
      <w:pPr>
        <w:pStyle w:val="21"/>
        <w:widowControl/>
        <w:numPr>
          <w:ilvl w:val="0"/>
          <w:numId w:val="8"/>
        </w:numPr>
        <w:autoSpaceDE w:val="0"/>
        <w:autoSpaceDN w:val="0"/>
        <w:adjustRightInd w:val="0"/>
        <w:spacing w:line="360" w:lineRule="auto"/>
        <w:ind w:firstLineChars="0"/>
        <w:jc w:val="left"/>
        <w:rPr>
          <w:rFonts w:hint="eastAsia" w:ascii="微软雅黑" w:hAnsi="微软雅黑" w:eastAsia="微软雅黑" w:cs="微软雅黑"/>
          <w:b/>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亲属陪同人员的行程、往返日期、航班或车次必须与被保险人的完全一致。</w:t>
      </w:r>
    </w:p>
    <w:p w14:paraId="457B9B25">
      <w:pPr>
        <w:pStyle w:val="21"/>
        <w:widowControl/>
        <w:numPr>
          <w:ilvl w:val="0"/>
          <w:numId w:val="8"/>
        </w:numPr>
        <w:autoSpaceDE w:val="0"/>
        <w:autoSpaceDN w:val="0"/>
        <w:adjustRightInd w:val="0"/>
        <w:spacing w:line="360" w:lineRule="auto"/>
        <w:ind w:firstLineChars="0"/>
        <w:jc w:val="left"/>
        <w:rPr>
          <w:rFonts w:hint="eastAsia" w:ascii="微软雅黑" w:hAnsi="微软雅黑" w:eastAsia="微软雅黑" w:cs="微软雅黑"/>
          <w:b/>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住宿费为到达转院目的地后的住宿费，仅包括每一次治疗开始时间（以医院收费票据为准）前两天（含）至治疗结束时间（以医院收费票据为准）后两天（含）。</w:t>
      </w:r>
    </w:p>
    <w:p w14:paraId="0FFC1710">
      <w:pPr>
        <w:pStyle w:val="21"/>
        <w:widowControl/>
        <w:numPr>
          <w:ilvl w:val="0"/>
          <w:numId w:val="8"/>
        </w:numPr>
        <w:autoSpaceDE w:val="0"/>
        <w:autoSpaceDN w:val="0"/>
        <w:adjustRightInd w:val="0"/>
        <w:spacing w:line="360" w:lineRule="auto"/>
        <w:ind w:firstLineChars="0"/>
        <w:jc w:val="left"/>
        <w:rPr>
          <w:rFonts w:hint="eastAsia" w:ascii="微软雅黑" w:hAnsi="微软雅黑" w:eastAsia="微软雅黑" w:cs="微软雅黑"/>
          <w:b/>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亲属指被保险人本人的配偶、父母、配偶的父母、子女、兄弟或姐妹、（外）祖父母、（外）孙子女。</w:t>
      </w:r>
    </w:p>
    <w:p w14:paraId="1C6F81FC">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8006F6"/>
    <w:multiLevelType w:val="multilevel"/>
    <w:tmpl w:val="328006F6"/>
    <w:lvl w:ilvl="0" w:tentative="0">
      <w:start w:val="1"/>
      <w:numFmt w:val="decimal"/>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43F60455"/>
    <w:multiLevelType w:val="multilevel"/>
    <w:tmpl w:val="43F60455"/>
    <w:lvl w:ilvl="0" w:tentative="0">
      <w:start w:val="1"/>
      <w:numFmt w:val="decimal"/>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458124B3"/>
    <w:multiLevelType w:val="multilevel"/>
    <w:tmpl w:val="458124B3"/>
    <w:lvl w:ilvl="0" w:tentative="0">
      <w:start w:val="1"/>
      <w:numFmt w:val="decimal"/>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4E1373F5"/>
    <w:multiLevelType w:val="multilevel"/>
    <w:tmpl w:val="4E1373F5"/>
    <w:lvl w:ilvl="0" w:tentative="0">
      <w:start w:val="1"/>
      <w:numFmt w:val="decimal"/>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588416B7"/>
    <w:multiLevelType w:val="multilevel"/>
    <w:tmpl w:val="588416B7"/>
    <w:lvl w:ilvl="0" w:tentative="0">
      <w:start w:val="1"/>
      <w:numFmt w:val="decimal"/>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5B4D4FE8"/>
    <w:multiLevelType w:val="multilevel"/>
    <w:tmpl w:val="5B4D4FE8"/>
    <w:lvl w:ilvl="0" w:tentative="0">
      <w:start w:val="1"/>
      <w:numFmt w:val="decimal"/>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76B24BD1"/>
    <w:multiLevelType w:val="multilevel"/>
    <w:tmpl w:val="76B24BD1"/>
    <w:lvl w:ilvl="0" w:tentative="0">
      <w:start w:val="1"/>
      <w:numFmt w:val="decimal"/>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7A153C79"/>
    <w:multiLevelType w:val="multilevel"/>
    <w:tmpl w:val="7A153C79"/>
    <w:lvl w:ilvl="0" w:tentative="0">
      <w:start w:val="1"/>
      <w:numFmt w:val="decimal"/>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415"/>
    <w:rsid w:val="000137B5"/>
    <w:rsid w:val="00014233"/>
    <w:rsid w:val="00017AF4"/>
    <w:rsid w:val="000310D1"/>
    <w:rsid w:val="00034811"/>
    <w:rsid w:val="000378FE"/>
    <w:rsid w:val="000511F1"/>
    <w:rsid w:val="0005271E"/>
    <w:rsid w:val="00053674"/>
    <w:rsid w:val="00063EC1"/>
    <w:rsid w:val="00072B6D"/>
    <w:rsid w:val="00076C7C"/>
    <w:rsid w:val="000805B0"/>
    <w:rsid w:val="00085AD7"/>
    <w:rsid w:val="00086D2E"/>
    <w:rsid w:val="00091D75"/>
    <w:rsid w:val="00097D5D"/>
    <w:rsid w:val="000A7A2E"/>
    <w:rsid w:val="000B26F9"/>
    <w:rsid w:val="000B70D0"/>
    <w:rsid w:val="000C4900"/>
    <w:rsid w:val="000D730C"/>
    <w:rsid w:val="000E202D"/>
    <w:rsid w:val="000F7637"/>
    <w:rsid w:val="0012281B"/>
    <w:rsid w:val="001246D9"/>
    <w:rsid w:val="00124EA8"/>
    <w:rsid w:val="0012742F"/>
    <w:rsid w:val="00127CE1"/>
    <w:rsid w:val="00127E69"/>
    <w:rsid w:val="00136507"/>
    <w:rsid w:val="00141CC6"/>
    <w:rsid w:val="00141F13"/>
    <w:rsid w:val="00143A7F"/>
    <w:rsid w:val="0014776F"/>
    <w:rsid w:val="00152956"/>
    <w:rsid w:val="001550B1"/>
    <w:rsid w:val="001557AD"/>
    <w:rsid w:val="001607D6"/>
    <w:rsid w:val="00163D64"/>
    <w:rsid w:val="00164B6F"/>
    <w:rsid w:val="00170426"/>
    <w:rsid w:val="00171F42"/>
    <w:rsid w:val="00174E17"/>
    <w:rsid w:val="00182BB3"/>
    <w:rsid w:val="001938B0"/>
    <w:rsid w:val="001A564C"/>
    <w:rsid w:val="001C37E6"/>
    <w:rsid w:val="001C452B"/>
    <w:rsid w:val="001D3BD3"/>
    <w:rsid w:val="001D7793"/>
    <w:rsid w:val="001E2F39"/>
    <w:rsid w:val="001F7926"/>
    <w:rsid w:val="00201472"/>
    <w:rsid w:val="00203A68"/>
    <w:rsid w:val="002110E3"/>
    <w:rsid w:val="00216155"/>
    <w:rsid w:val="0022092B"/>
    <w:rsid w:val="0022384E"/>
    <w:rsid w:val="00224776"/>
    <w:rsid w:val="0023616D"/>
    <w:rsid w:val="00240C31"/>
    <w:rsid w:val="002424C7"/>
    <w:rsid w:val="002467B2"/>
    <w:rsid w:val="00247C0B"/>
    <w:rsid w:val="00254C5A"/>
    <w:rsid w:val="00255B72"/>
    <w:rsid w:val="00255F0A"/>
    <w:rsid w:val="00265E58"/>
    <w:rsid w:val="00265ED1"/>
    <w:rsid w:val="00266986"/>
    <w:rsid w:val="002700C6"/>
    <w:rsid w:val="002768EB"/>
    <w:rsid w:val="002817DA"/>
    <w:rsid w:val="00281BB3"/>
    <w:rsid w:val="0028618F"/>
    <w:rsid w:val="0029500E"/>
    <w:rsid w:val="00296DCD"/>
    <w:rsid w:val="002A00CF"/>
    <w:rsid w:val="002A61AE"/>
    <w:rsid w:val="002C0BF4"/>
    <w:rsid w:val="002D0A7A"/>
    <w:rsid w:val="002D63B1"/>
    <w:rsid w:val="002D7625"/>
    <w:rsid w:val="002E38E3"/>
    <w:rsid w:val="002F122A"/>
    <w:rsid w:val="002F2359"/>
    <w:rsid w:val="002F4882"/>
    <w:rsid w:val="003029CE"/>
    <w:rsid w:val="00306FAB"/>
    <w:rsid w:val="003072CB"/>
    <w:rsid w:val="00311734"/>
    <w:rsid w:val="00316D66"/>
    <w:rsid w:val="00326A4A"/>
    <w:rsid w:val="00330C39"/>
    <w:rsid w:val="00332C71"/>
    <w:rsid w:val="00334FC4"/>
    <w:rsid w:val="00344ADA"/>
    <w:rsid w:val="003467C6"/>
    <w:rsid w:val="00353D47"/>
    <w:rsid w:val="003556CB"/>
    <w:rsid w:val="003578C6"/>
    <w:rsid w:val="00365322"/>
    <w:rsid w:val="003729B7"/>
    <w:rsid w:val="00374704"/>
    <w:rsid w:val="00377D3E"/>
    <w:rsid w:val="003864EF"/>
    <w:rsid w:val="003906BD"/>
    <w:rsid w:val="0039253C"/>
    <w:rsid w:val="00392A1C"/>
    <w:rsid w:val="00392B1E"/>
    <w:rsid w:val="003930EF"/>
    <w:rsid w:val="003A59A1"/>
    <w:rsid w:val="003B0FBA"/>
    <w:rsid w:val="003D11F0"/>
    <w:rsid w:val="003D1443"/>
    <w:rsid w:val="003D29A1"/>
    <w:rsid w:val="003E4504"/>
    <w:rsid w:val="003F5F16"/>
    <w:rsid w:val="003F69C2"/>
    <w:rsid w:val="00400F59"/>
    <w:rsid w:val="00402015"/>
    <w:rsid w:val="00404B7A"/>
    <w:rsid w:val="00405235"/>
    <w:rsid w:val="004113B0"/>
    <w:rsid w:val="00413113"/>
    <w:rsid w:val="00420281"/>
    <w:rsid w:val="00420618"/>
    <w:rsid w:val="00424D32"/>
    <w:rsid w:val="00426F1D"/>
    <w:rsid w:val="00431275"/>
    <w:rsid w:val="00442C13"/>
    <w:rsid w:val="0044610D"/>
    <w:rsid w:val="00455610"/>
    <w:rsid w:val="00460B38"/>
    <w:rsid w:val="00461987"/>
    <w:rsid w:val="00461AE9"/>
    <w:rsid w:val="004656BB"/>
    <w:rsid w:val="00470156"/>
    <w:rsid w:val="00471E3D"/>
    <w:rsid w:val="00472E0D"/>
    <w:rsid w:val="00475484"/>
    <w:rsid w:val="00477486"/>
    <w:rsid w:val="00477DDF"/>
    <w:rsid w:val="00487677"/>
    <w:rsid w:val="004906AC"/>
    <w:rsid w:val="0049170F"/>
    <w:rsid w:val="004A4547"/>
    <w:rsid w:val="004A7E38"/>
    <w:rsid w:val="004B3CB9"/>
    <w:rsid w:val="004C4631"/>
    <w:rsid w:val="004C7AE7"/>
    <w:rsid w:val="004D308D"/>
    <w:rsid w:val="004D53E6"/>
    <w:rsid w:val="004E09D3"/>
    <w:rsid w:val="004E1343"/>
    <w:rsid w:val="004E1B73"/>
    <w:rsid w:val="004E27E6"/>
    <w:rsid w:val="004E478B"/>
    <w:rsid w:val="004E4847"/>
    <w:rsid w:val="004E5F98"/>
    <w:rsid w:val="004F2C97"/>
    <w:rsid w:val="004F7BB0"/>
    <w:rsid w:val="00501FBE"/>
    <w:rsid w:val="00502074"/>
    <w:rsid w:val="00510E0D"/>
    <w:rsid w:val="00512370"/>
    <w:rsid w:val="0051736A"/>
    <w:rsid w:val="00520ADE"/>
    <w:rsid w:val="00523F88"/>
    <w:rsid w:val="00525694"/>
    <w:rsid w:val="005261DF"/>
    <w:rsid w:val="00535721"/>
    <w:rsid w:val="005431FB"/>
    <w:rsid w:val="00554463"/>
    <w:rsid w:val="005632C3"/>
    <w:rsid w:val="0056700D"/>
    <w:rsid w:val="00572415"/>
    <w:rsid w:val="005847DE"/>
    <w:rsid w:val="005864EB"/>
    <w:rsid w:val="0059013F"/>
    <w:rsid w:val="0059058D"/>
    <w:rsid w:val="00591F87"/>
    <w:rsid w:val="005936F8"/>
    <w:rsid w:val="005A779E"/>
    <w:rsid w:val="005B005C"/>
    <w:rsid w:val="005B09B8"/>
    <w:rsid w:val="005C07C7"/>
    <w:rsid w:val="005C7B78"/>
    <w:rsid w:val="005D4111"/>
    <w:rsid w:val="005D608C"/>
    <w:rsid w:val="005E4B26"/>
    <w:rsid w:val="005E5858"/>
    <w:rsid w:val="005F16FC"/>
    <w:rsid w:val="005F4719"/>
    <w:rsid w:val="005F7AEF"/>
    <w:rsid w:val="00601E2E"/>
    <w:rsid w:val="00602967"/>
    <w:rsid w:val="006068A7"/>
    <w:rsid w:val="006070D9"/>
    <w:rsid w:val="0061338E"/>
    <w:rsid w:val="00614E1E"/>
    <w:rsid w:val="0061676D"/>
    <w:rsid w:val="00664C7D"/>
    <w:rsid w:val="00681DC5"/>
    <w:rsid w:val="00687365"/>
    <w:rsid w:val="006900E4"/>
    <w:rsid w:val="00697A28"/>
    <w:rsid w:val="006A10B8"/>
    <w:rsid w:val="006A5CBF"/>
    <w:rsid w:val="006B2D77"/>
    <w:rsid w:val="006C5633"/>
    <w:rsid w:val="006E0C64"/>
    <w:rsid w:val="006E32E9"/>
    <w:rsid w:val="006E7583"/>
    <w:rsid w:val="00704FE4"/>
    <w:rsid w:val="007056C5"/>
    <w:rsid w:val="00711300"/>
    <w:rsid w:val="00713245"/>
    <w:rsid w:val="00714C31"/>
    <w:rsid w:val="007179FA"/>
    <w:rsid w:val="00724B50"/>
    <w:rsid w:val="007329EF"/>
    <w:rsid w:val="00733DEA"/>
    <w:rsid w:val="00734936"/>
    <w:rsid w:val="00742F5A"/>
    <w:rsid w:val="0077788A"/>
    <w:rsid w:val="00781FD4"/>
    <w:rsid w:val="00790624"/>
    <w:rsid w:val="00791C90"/>
    <w:rsid w:val="00795E85"/>
    <w:rsid w:val="007A11A8"/>
    <w:rsid w:val="007A1F2D"/>
    <w:rsid w:val="007B2EC2"/>
    <w:rsid w:val="007B3846"/>
    <w:rsid w:val="007B4081"/>
    <w:rsid w:val="007B509A"/>
    <w:rsid w:val="007B63CA"/>
    <w:rsid w:val="007C5FC4"/>
    <w:rsid w:val="007D0E97"/>
    <w:rsid w:val="007D294E"/>
    <w:rsid w:val="007D37AC"/>
    <w:rsid w:val="007D37EC"/>
    <w:rsid w:val="007E16A1"/>
    <w:rsid w:val="007E5061"/>
    <w:rsid w:val="007F0F81"/>
    <w:rsid w:val="007F3859"/>
    <w:rsid w:val="007F4427"/>
    <w:rsid w:val="0080459F"/>
    <w:rsid w:val="00804E5A"/>
    <w:rsid w:val="00807A55"/>
    <w:rsid w:val="008152BC"/>
    <w:rsid w:val="00815A80"/>
    <w:rsid w:val="008161FE"/>
    <w:rsid w:val="0081787C"/>
    <w:rsid w:val="00824624"/>
    <w:rsid w:val="00826ACD"/>
    <w:rsid w:val="008328A6"/>
    <w:rsid w:val="00835409"/>
    <w:rsid w:val="00835C9A"/>
    <w:rsid w:val="0084388A"/>
    <w:rsid w:val="00844389"/>
    <w:rsid w:val="00847F37"/>
    <w:rsid w:val="00850121"/>
    <w:rsid w:val="008511B8"/>
    <w:rsid w:val="0085775D"/>
    <w:rsid w:val="00863042"/>
    <w:rsid w:val="00876CB7"/>
    <w:rsid w:val="0088238A"/>
    <w:rsid w:val="00887BFC"/>
    <w:rsid w:val="00887F6D"/>
    <w:rsid w:val="00891A77"/>
    <w:rsid w:val="00893205"/>
    <w:rsid w:val="00893930"/>
    <w:rsid w:val="008A33FB"/>
    <w:rsid w:val="008A4C17"/>
    <w:rsid w:val="008A69C6"/>
    <w:rsid w:val="008A78D3"/>
    <w:rsid w:val="008B2C9F"/>
    <w:rsid w:val="008B7DE5"/>
    <w:rsid w:val="008C5A45"/>
    <w:rsid w:val="008D4EDD"/>
    <w:rsid w:val="008E0793"/>
    <w:rsid w:val="008E7A20"/>
    <w:rsid w:val="0090172D"/>
    <w:rsid w:val="0090529B"/>
    <w:rsid w:val="009060F1"/>
    <w:rsid w:val="00911DC2"/>
    <w:rsid w:val="00915306"/>
    <w:rsid w:val="00933071"/>
    <w:rsid w:val="00933328"/>
    <w:rsid w:val="009364B0"/>
    <w:rsid w:val="009416C7"/>
    <w:rsid w:val="0094218D"/>
    <w:rsid w:val="009428B6"/>
    <w:rsid w:val="00946707"/>
    <w:rsid w:val="00953529"/>
    <w:rsid w:val="00955739"/>
    <w:rsid w:val="0096005D"/>
    <w:rsid w:val="00961840"/>
    <w:rsid w:val="00970C36"/>
    <w:rsid w:val="00976640"/>
    <w:rsid w:val="009838F7"/>
    <w:rsid w:val="00991F05"/>
    <w:rsid w:val="009935BF"/>
    <w:rsid w:val="00995D08"/>
    <w:rsid w:val="009A07C7"/>
    <w:rsid w:val="009A0B3B"/>
    <w:rsid w:val="009A6F08"/>
    <w:rsid w:val="009C30FA"/>
    <w:rsid w:val="009C39B6"/>
    <w:rsid w:val="009C48FE"/>
    <w:rsid w:val="009C568F"/>
    <w:rsid w:val="009D4C65"/>
    <w:rsid w:val="009E00A0"/>
    <w:rsid w:val="009E1C51"/>
    <w:rsid w:val="009F0201"/>
    <w:rsid w:val="009F66F7"/>
    <w:rsid w:val="00A000B4"/>
    <w:rsid w:val="00A003D6"/>
    <w:rsid w:val="00A02549"/>
    <w:rsid w:val="00A061FD"/>
    <w:rsid w:val="00A119D2"/>
    <w:rsid w:val="00A13E03"/>
    <w:rsid w:val="00A20FD9"/>
    <w:rsid w:val="00A25C06"/>
    <w:rsid w:val="00A33CFD"/>
    <w:rsid w:val="00A4449B"/>
    <w:rsid w:val="00A44BF2"/>
    <w:rsid w:val="00A46725"/>
    <w:rsid w:val="00A67714"/>
    <w:rsid w:val="00A679A9"/>
    <w:rsid w:val="00A70B18"/>
    <w:rsid w:val="00A71363"/>
    <w:rsid w:val="00A72718"/>
    <w:rsid w:val="00A74A2A"/>
    <w:rsid w:val="00A8175B"/>
    <w:rsid w:val="00A84111"/>
    <w:rsid w:val="00A849D0"/>
    <w:rsid w:val="00A96C68"/>
    <w:rsid w:val="00AB3854"/>
    <w:rsid w:val="00AB4420"/>
    <w:rsid w:val="00AC3CE8"/>
    <w:rsid w:val="00AD185E"/>
    <w:rsid w:val="00AE052A"/>
    <w:rsid w:val="00AE47C7"/>
    <w:rsid w:val="00AE4B52"/>
    <w:rsid w:val="00AF69FD"/>
    <w:rsid w:val="00B0183B"/>
    <w:rsid w:val="00B05214"/>
    <w:rsid w:val="00B07E85"/>
    <w:rsid w:val="00B2173B"/>
    <w:rsid w:val="00B22060"/>
    <w:rsid w:val="00B236D3"/>
    <w:rsid w:val="00B26CE4"/>
    <w:rsid w:val="00B272EA"/>
    <w:rsid w:val="00B3401B"/>
    <w:rsid w:val="00B46E3F"/>
    <w:rsid w:val="00B47489"/>
    <w:rsid w:val="00B506BC"/>
    <w:rsid w:val="00B52821"/>
    <w:rsid w:val="00B52C95"/>
    <w:rsid w:val="00B561C9"/>
    <w:rsid w:val="00B60CB4"/>
    <w:rsid w:val="00B668E3"/>
    <w:rsid w:val="00B701FF"/>
    <w:rsid w:val="00B71023"/>
    <w:rsid w:val="00B72349"/>
    <w:rsid w:val="00B72BD2"/>
    <w:rsid w:val="00B8190F"/>
    <w:rsid w:val="00B85C20"/>
    <w:rsid w:val="00B927C0"/>
    <w:rsid w:val="00BA312C"/>
    <w:rsid w:val="00BA4B8E"/>
    <w:rsid w:val="00BA5484"/>
    <w:rsid w:val="00BB08D0"/>
    <w:rsid w:val="00BB2E85"/>
    <w:rsid w:val="00BB4E99"/>
    <w:rsid w:val="00BB6451"/>
    <w:rsid w:val="00BC0745"/>
    <w:rsid w:val="00BC6091"/>
    <w:rsid w:val="00BC6A1C"/>
    <w:rsid w:val="00BD0859"/>
    <w:rsid w:val="00BD342F"/>
    <w:rsid w:val="00BD6A7C"/>
    <w:rsid w:val="00BD7702"/>
    <w:rsid w:val="00BE004A"/>
    <w:rsid w:val="00BE104B"/>
    <w:rsid w:val="00BE47E7"/>
    <w:rsid w:val="00BE6542"/>
    <w:rsid w:val="00BF0958"/>
    <w:rsid w:val="00BF22C3"/>
    <w:rsid w:val="00BF7886"/>
    <w:rsid w:val="00C02519"/>
    <w:rsid w:val="00C22452"/>
    <w:rsid w:val="00C226B1"/>
    <w:rsid w:val="00C30519"/>
    <w:rsid w:val="00C3348C"/>
    <w:rsid w:val="00C3400A"/>
    <w:rsid w:val="00C433FD"/>
    <w:rsid w:val="00C51000"/>
    <w:rsid w:val="00C57864"/>
    <w:rsid w:val="00C57A30"/>
    <w:rsid w:val="00C604BB"/>
    <w:rsid w:val="00C65513"/>
    <w:rsid w:val="00C6599B"/>
    <w:rsid w:val="00C710FF"/>
    <w:rsid w:val="00C750A4"/>
    <w:rsid w:val="00C77F01"/>
    <w:rsid w:val="00C84133"/>
    <w:rsid w:val="00C90882"/>
    <w:rsid w:val="00C95A0D"/>
    <w:rsid w:val="00C97826"/>
    <w:rsid w:val="00CA17BC"/>
    <w:rsid w:val="00CA583A"/>
    <w:rsid w:val="00CB0EBA"/>
    <w:rsid w:val="00CB0F6A"/>
    <w:rsid w:val="00CB148D"/>
    <w:rsid w:val="00CB419D"/>
    <w:rsid w:val="00CB7DC1"/>
    <w:rsid w:val="00CD17F7"/>
    <w:rsid w:val="00CD3614"/>
    <w:rsid w:val="00CD4FE1"/>
    <w:rsid w:val="00CD72EB"/>
    <w:rsid w:val="00CE4698"/>
    <w:rsid w:val="00CF6909"/>
    <w:rsid w:val="00D040AC"/>
    <w:rsid w:val="00D1467C"/>
    <w:rsid w:val="00D14724"/>
    <w:rsid w:val="00D14AEA"/>
    <w:rsid w:val="00D20EA5"/>
    <w:rsid w:val="00D24ADD"/>
    <w:rsid w:val="00D27785"/>
    <w:rsid w:val="00D316B0"/>
    <w:rsid w:val="00D337C3"/>
    <w:rsid w:val="00D33819"/>
    <w:rsid w:val="00D33FAD"/>
    <w:rsid w:val="00D417CD"/>
    <w:rsid w:val="00D46263"/>
    <w:rsid w:val="00D47E39"/>
    <w:rsid w:val="00D57F22"/>
    <w:rsid w:val="00D653E4"/>
    <w:rsid w:val="00D66C2D"/>
    <w:rsid w:val="00D711B8"/>
    <w:rsid w:val="00D71860"/>
    <w:rsid w:val="00D85343"/>
    <w:rsid w:val="00D92AB4"/>
    <w:rsid w:val="00D968DE"/>
    <w:rsid w:val="00D96D33"/>
    <w:rsid w:val="00DA002A"/>
    <w:rsid w:val="00DB0E40"/>
    <w:rsid w:val="00DB3B88"/>
    <w:rsid w:val="00DB79EC"/>
    <w:rsid w:val="00DC73FB"/>
    <w:rsid w:val="00DD289A"/>
    <w:rsid w:val="00DD5B03"/>
    <w:rsid w:val="00DD780D"/>
    <w:rsid w:val="00DF1C5E"/>
    <w:rsid w:val="00DF3D27"/>
    <w:rsid w:val="00DF7BB8"/>
    <w:rsid w:val="00E03952"/>
    <w:rsid w:val="00E03FF0"/>
    <w:rsid w:val="00E064F1"/>
    <w:rsid w:val="00E171B5"/>
    <w:rsid w:val="00E20D30"/>
    <w:rsid w:val="00E21ADE"/>
    <w:rsid w:val="00E304F7"/>
    <w:rsid w:val="00E32926"/>
    <w:rsid w:val="00E33DB7"/>
    <w:rsid w:val="00E34023"/>
    <w:rsid w:val="00E430C5"/>
    <w:rsid w:val="00E43CD0"/>
    <w:rsid w:val="00E47720"/>
    <w:rsid w:val="00E47893"/>
    <w:rsid w:val="00E4793A"/>
    <w:rsid w:val="00E539F2"/>
    <w:rsid w:val="00E56174"/>
    <w:rsid w:val="00E56718"/>
    <w:rsid w:val="00E61789"/>
    <w:rsid w:val="00E6182F"/>
    <w:rsid w:val="00E63155"/>
    <w:rsid w:val="00E658DA"/>
    <w:rsid w:val="00E67C24"/>
    <w:rsid w:val="00E7341E"/>
    <w:rsid w:val="00E76BAD"/>
    <w:rsid w:val="00E80882"/>
    <w:rsid w:val="00E82402"/>
    <w:rsid w:val="00E862D5"/>
    <w:rsid w:val="00EA7916"/>
    <w:rsid w:val="00EC01B4"/>
    <w:rsid w:val="00EC0283"/>
    <w:rsid w:val="00EC2B97"/>
    <w:rsid w:val="00ED6F09"/>
    <w:rsid w:val="00EE3805"/>
    <w:rsid w:val="00EF3018"/>
    <w:rsid w:val="00EF712F"/>
    <w:rsid w:val="00EF7555"/>
    <w:rsid w:val="00F043A1"/>
    <w:rsid w:val="00F04430"/>
    <w:rsid w:val="00F1077B"/>
    <w:rsid w:val="00F13F87"/>
    <w:rsid w:val="00F173C1"/>
    <w:rsid w:val="00F17885"/>
    <w:rsid w:val="00F25B0F"/>
    <w:rsid w:val="00F265BF"/>
    <w:rsid w:val="00F26AD3"/>
    <w:rsid w:val="00F334FA"/>
    <w:rsid w:val="00F3757B"/>
    <w:rsid w:val="00F4055D"/>
    <w:rsid w:val="00F4588C"/>
    <w:rsid w:val="00F4722B"/>
    <w:rsid w:val="00F47F56"/>
    <w:rsid w:val="00F534CF"/>
    <w:rsid w:val="00F80E8B"/>
    <w:rsid w:val="00F83F21"/>
    <w:rsid w:val="00F93A93"/>
    <w:rsid w:val="00FA58A1"/>
    <w:rsid w:val="00FA65FA"/>
    <w:rsid w:val="00FB5D26"/>
    <w:rsid w:val="00FC181F"/>
    <w:rsid w:val="00FC2811"/>
    <w:rsid w:val="00FC575E"/>
    <w:rsid w:val="00FD738F"/>
    <w:rsid w:val="00FD7DDC"/>
    <w:rsid w:val="00FE2E84"/>
    <w:rsid w:val="00FF405F"/>
    <w:rsid w:val="00FF60B3"/>
    <w:rsid w:val="00FF65FA"/>
    <w:rsid w:val="01804D34"/>
    <w:rsid w:val="0446788F"/>
    <w:rsid w:val="04D34ADA"/>
    <w:rsid w:val="06113278"/>
    <w:rsid w:val="09D97C0F"/>
    <w:rsid w:val="0E222CF8"/>
    <w:rsid w:val="0E452BB0"/>
    <w:rsid w:val="0FFA66CF"/>
    <w:rsid w:val="11D84316"/>
    <w:rsid w:val="1845432E"/>
    <w:rsid w:val="1ABF7DF8"/>
    <w:rsid w:val="1BC066CF"/>
    <w:rsid w:val="2DD00819"/>
    <w:rsid w:val="2EE13AB0"/>
    <w:rsid w:val="2F5C75D9"/>
    <w:rsid w:val="2FB7405C"/>
    <w:rsid w:val="2FE4366E"/>
    <w:rsid w:val="338C65D9"/>
    <w:rsid w:val="346314E0"/>
    <w:rsid w:val="37AC5CBC"/>
    <w:rsid w:val="38AE403A"/>
    <w:rsid w:val="38BE7264"/>
    <w:rsid w:val="472E1FE8"/>
    <w:rsid w:val="4DAD26E2"/>
    <w:rsid w:val="508B3C65"/>
    <w:rsid w:val="54025A23"/>
    <w:rsid w:val="55743AEB"/>
    <w:rsid w:val="5C731F46"/>
    <w:rsid w:val="6BB147E2"/>
    <w:rsid w:val="6F9775A3"/>
    <w:rsid w:val="71D31DE8"/>
    <w:rsid w:val="75AE69E7"/>
    <w:rsid w:val="79676C3E"/>
    <w:rsid w:val="7C44609B"/>
    <w:rsid w:val="7EF64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semiHidden="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nhideWhenUsed/>
    <w:qFormat/>
    <w:uiPriority w:val="0"/>
    <w:pPr>
      <w:jc w:val="left"/>
    </w:pPr>
  </w:style>
  <w:style w:type="paragraph" w:styleId="3">
    <w:name w:val="Balloon Text"/>
    <w:basedOn w:val="1"/>
    <w:link w:val="14"/>
    <w:unhideWhenUsed/>
    <w:qFormat/>
    <w:uiPriority w:val="0"/>
    <w:rPr>
      <w:sz w:val="18"/>
      <w:szCs w:val="18"/>
    </w:rPr>
  </w:style>
  <w:style w:type="paragraph" w:styleId="4">
    <w:name w:val="footer"/>
    <w:basedOn w:val="1"/>
    <w:link w:val="18"/>
    <w:unhideWhenUsed/>
    <w:qFormat/>
    <w:uiPriority w:val="0"/>
    <w:pPr>
      <w:tabs>
        <w:tab w:val="center" w:pos="4153"/>
        <w:tab w:val="right" w:pos="8306"/>
      </w:tabs>
      <w:snapToGrid w:val="0"/>
      <w:jc w:val="left"/>
    </w:pPr>
    <w:rPr>
      <w:sz w:val="18"/>
      <w:szCs w:val="18"/>
    </w:rPr>
  </w:style>
  <w:style w:type="paragraph" w:styleId="5">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75" w:after="75"/>
      <w:ind w:left="75" w:right="75"/>
      <w:jc w:val="left"/>
    </w:pPr>
    <w:rPr>
      <w:kern w:val="0"/>
      <w:sz w:val="24"/>
    </w:rPr>
  </w:style>
  <w:style w:type="paragraph" w:styleId="7">
    <w:name w:val="annotation subject"/>
    <w:basedOn w:val="2"/>
    <w:next w:val="2"/>
    <w:link w:val="16"/>
    <w:unhideWhenUsed/>
    <w:qFormat/>
    <w:uiPriority w:val="0"/>
    <w:rPr>
      <w:b/>
      <w:bCs/>
    </w:rPr>
  </w:style>
  <w:style w:type="character" w:styleId="10">
    <w:name w:val="annotation reference"/>
    <w:basedOn w:val="9"/>
    <w:unhideWhenUsed/>
    <w:qFormat/>
    <w:uiPriority w:val="0"/>
    <w:rPr>
      <w:sz w:val="21"/>
      <w:szCs w:val="21"/>
    </w:rPr>
  </w:style>
  <w:style w:type="paragraph" w:customStyle="1" w:styleId="11">
    <w:name w:val="List Paragraph2"/>
    <w:basedOn w:val="1"/>
    <w:qFormat/>
    <w:uiPriority w:val="99"/>
    <w:pPr>
      <w:adjustRightInd w:val="0"/>
      <w:snapToGrid w:val="0"/>
      <w:spacing w:line="276" w:lineRule="auto"/>
      <w:ind w:firstLine="420" w:firstLineChars="200"/>
    </w:pPr>
    <w:rPr>
      <w:rFonts w:cs="Times New Roman"/>
      <w:szCs w:val="22"/>
    </w:rPr>
  </w:style>
  <w:style w:type="paragraph" w:customStyle="1" w:styleId="12">
    <w:name w:val="列出段落1"/>
    <w:basedOn w:val="1"/>
    <w:qFormat/>
    <w:uiPriority w:val="34"/>
    <w:pPr>
      <w:ind w:firstLine="420" w:firstLineChars="200"/>
    </w:pPr>
  </w:style>
  <w:style w:type="paragraph" w:customStyle="1" w:styleId="13">
    <w:name w:val="修订1"/>
    <w:hidden/>
    <w:semiHidden/>
    <w:qFormat/>
    <w:uiPriority w:val="99"/>
    <w:rPr>
      <w:rFonts w:ascii="Calibri" w:hAnsi="Calibri" w:eastAsia="宋体" w:cs="黑体"/>
      <w:kern w:val="2"/>
      <w:sz w:val="21"/>
      <w:szCs w:val="24"/>
      <w:lang w:val="en-US" w:eastAsia="zh-CN" w:bidi="ar-SA"/>
    </w:rPr>
  </w:style>
  <w:style w:type="character" w:customStyle="1" w:styleId="14">
    <w:name w:val="批注框文本 字符"/>
    <w:basedOn w:val="9"/>
    <w:link w:val="3"/>
    <w:semiHidden/>
    <w:qFormat/>
    <w:uiPriority w:val="0"/>
    <w:rPr>
      <w:rFonts w:ascii="Calibri" w:hAnsi="Calibri" w:cs="黑体"/>
      <w:kern w:val="2"/>
      <w:sz w:val="18"/>
      <w:szCs w:val="18"/>
    </w:rPr>
  </w:style>
  <w:style w:type="character" w:customStyle="1" w:styleId="15">
    <w:name w:val="批注文字 字符"/>
    <w:basedOn w:val="9"/>
    <w:link w:val="2"/>
    <w:qFormat/>
    <w:uiPriority w:val="0"/>
    <w:rPr>
      <w:rFonts w:ascii="Calibri" w:hAnsi="Calibri" w:cs="黑体"/>
      <w:kern w:val="2"/>
      <w:sz w:val="21"/>
      <w:szCs w:val="24"/>
    </w:rPr>
  </w:style>
  <w:style w:type="character" w:customStyle="1" w:styleId="16">
    <w:name w:val="批注主题 字符"/>
    <w:basedOn w:val="15"/>
    <w:link w:val="7"/>
    <w:semiHidden/>
    <w:qFormat/>
    <w:uiPriority w:val="0"/>
    <w:rPr>
      <w:rFonts w:ascii="Calibri" w:hAnsi="Calibri" w:cs="黑体"/>
      <w:b/>
      <w:bCs/>
      <w:kern w:val="2"/>
      <w:sz w:val="21"/>
      <w:szCs w:val="24"/>
    </w:rPr>
  </w:style>
  <w:style w:type="character" w:customStyle="1" w:styleId="17">
    <w:name w:val="页眉 字符"/>
    <w:basedOn w:val="9"/>
    <w:link w:val="5"/>
    <w:qFormat/>
    <w:uiPriority w:val="0"/>
    <w:rPr>
      <w:rFonts w:ascii="Calibri" w:hAnsi="Calibri" w:cs="黑体"/>
      <w:kern w:val="2"/>
      <w:sz w:val="18"/>
      <w:szCs w:val="18"/>
    </w:rPr>
  </w:style>
  <w:style w:type="character" w:customStyle="1" w:styleId="18">
    <w:name w:val="页脚 字符"/>
    <w:basedOn w:val="9"/>
    <w:link w:val="4"/>
    <w:qFormat/>
    <w:uiPriority w:val="0"/>
    <w:rPr>
      <w:rFonts w:ascii="Calibri" w:hAnsi="Calibri" w:cs="黑体"/>
      <w:kern w:val="2"/>
      <w:sz w:val="18"/>
      <w:szCs w:val="18"/>
    </w:rPr>
  </w:style>
  <w:style w:type="paragraph" w:customStyle="1" w:styleId="19">
    <w:name w:val="修订2"/>
    <w:hidden/>
    <w:semiHidden/>
    <w:qFormat/>
    <w:uiPriority w:val="99"/>
    <w:rPr>
      <w:rFonts w:ascii="Calibri" w:hAnsi="Calibri" w:eastAsia="宋体" w:cs="黑体"/>
      <w:kern w:val="2"/>
      <w:sz w:val="21"/>
      <w:szCs w:val="24"/>
      <w:lang w:val="en-US" w:eastAsia="zh-CN" w:bidi="ar-SA"/>
    </w:rPr>
  </w:style>
  <w:style w:type="paragraph" w:customStyle="1" w:styleId="20">
    <w:name w:val="列表段落1"/>
    <w:basedOn w:val="1"/>
    <w:qFormat/>
    <w:uiPriority w:val="99"/>
    <w:pPr>
      <w:ind w:firstLine="420" w:firstLineChars="200"/>
    </w:pPr>
    <w:rPr>
      <w:rFonts w:asciiTheme="minorHAnsi" w:hAnsiTheme="minorHAnsi" w:eastAsiaTheme="minorEastAsia" w:cstheme="minorBidi"/>
    </w:rPr>
  </w:style>
  <w:style w:type="paragraph" w:styleId="21">
    <w:name w:val="List Paragraph"/>
    <w:basedOn w:val="1"/>
    <w:qFormat/>
    <w:uiPriority w:val="99"/>
    <w:pPr>
      <w:ind w:firstLine="420" w:firstLineChars="200"/>
    </w:pPr>
  </w:style>
  <w:style w:type="paragraph" w:customStyle="1" w:styleId="22">
    <w:name w:val="修订3"/>
    <w:hidden/>
    <w:semiHidden/>
    <w:qFormat/>
    <w:uiPriority w:val="99"/>
    <w:rPr>
      <w:rFonts w:ascii="Calibri" w:hAnsi="Calibri" w:eastAsia="宋体" w:cs="黑体"/>
      <w:kern w:val="2"/>
      <w:sz w:val="21"/>
      <w:szCs w:val="24"/>
      <w:lang w:val="en-US" w:eastAsia="zh-CN" w:bidi="ar-SA"/>
    </w:rPr>
  </w:style>
  <w:style w:type="paragraph" w:customStyle="1" w:styleId="23">
    <w:name w:val="Revision"/>
    <w:hidden/>
    <w:unhideWhenUsed/>
    <w:qFormat/>
    <w:uiPriority w:val="99"/>
    <w:rPr>
      <w:rFonts w:ascii="Calibri" w:hAnsi="Calibri"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4682</Words>
  <Characters>4875</Characters>
  <Lines>97</Lines>
  <Paragraphs>74</Paragraphs>
  <TotalTime>74</TotalTime>
  <ScaleCrop>false</ScaleCrop>
  <LinksUpToDate>false</LinksUpToDate>
  <CharactersWithSpaces>4879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2023-07-07T08:27:00Z</dcterms:created>
  <dc:creator>wugaojie</dc:creator>
  <cp:lastModifiedBy>guowenrong</cp:lastModifiedBy>
  <dcterms:modified xsi:type="dcterms:W3CDTF">2025-09-04T15:15:04Z</dcterms:modified>
  <dc:title>常见问题</dc:title>
  <cp:revision>227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eyJoZGlkIjoiOGI4NjI5OTBmMDM1ODFlMDkzNDFlZTFiMWNhZWU5ZTMiLCJ1c2VySWQiOiI5MTcwNjgxNzcifQ==</vt:lpwstr>
  </property>
  <property fmtid="{D5CDD505-2E9C-101B-9397-08002B2CF9AE}" pid="4" name="ICV">
    <vt:lpwstr>81FB240E111F4510A5F6DBE0DB68E39A_12</vt:lpwstr>
  </property>
</Properties>
</file>